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val="0"/>
        <w:numPr>
          <w:ilvl w:val="0"/>
          <w:numId w:val="1"/>
        </w:numPr>
        <w:kinsoku/>
        <w:autoSpaceDE/>
        <w:autoSpaceDN/>
        <w:bidi w:val="0"/>
        <w:adjustRightInd/>
        <w:snapToGrid/>
        <w:ind w:firstLine="442" w:firstLineChars="100"/>
        <w:jc w:val="center"/>
        <w:textAlignment w:val="auto"/>
        <w:outlineLvl w:val="0"/>
        <w:rPr>
          <w:rFonts w:hint="eastAsia" w:ascii="仿宋_GB2312" w:hAnsi="仿宋_GB2312" w:cs="仿宋_GB2312"/>
          <w:snapToGrid/>
          <w:color w:val="auto"/>
          <w:kern w:val="2"/>
          <w:sz w:val="44"/>
          <w:szCs w:val="44"/>
          <w:highlight w:val="none"/>
          <w:lang w:eastAsia="zh-CN"/>
        </w:rPr>
      </w:pPr>
      <w:bookmarkStart w:id="0" w:name="_Toc24925"/>
      <w:r>
        <w:rPr>
          <w:rFonts w:hint="eastAsia" w:ascii="仿宋_GB2312" w:hAnsi="仿宋_GB2312" w:cs="仿宋_GB2312"/>
          <w:snapToGrid/>
          <w:color w:val="auto"/>
          <w:kern w:val="2"/>
          <w:sz w:val="44"/>
          <w:szCs w:val="44"/>
          <w:highlight w:val="none"/>
          <w:lang w:eastAsia="zh-CN"/>
        </w:rPr>
        <w:t xml:space="preserve"> </w:t>
      </w:r>
      <w:r>
        <w:rPr>
          <w:rFonts w:hint="eastAsia" w:ascii="仿宋_GB2312" w:hAnsi="仿宋_GB2312" w:cs="仿宋_GB2312"/>
          <w:snapToGrid/>
          <w:color w:val="auto"/>
          <w:kern w:val="2"/>
          <w:sz w:val="44"/>
          <w:szCs w:val="44"/>
          <w:highlight w:val="none"/>
          <w:lang w:val="en-US" w:eastAsia="zh-CN"/>
        </w:rPr>
        <w:t>科研生产外协</w:t>
      </w:r>
      <w:r>
        <w:rPr>
          <w:rFonts w:hint="eastAsia" w:ascii="仿宋_GB2312" w:hAnsi="仿宋_GB2312" w:cs="仿宋_GB2312"/>
          <w:snapToGrid/>
          <w:color w:val="auto"/>
          <w:kern w:val="2"/>
          <w:sz w:val="44"/>
          <w:szCs w:val="44"/>
          <w:highlight w:val="none"/>
          <w:lang w:eastAsia="zh-CN"/>
        </w:rPr>
        <w:t>项目技术、服务及其他商务要求</w:t>
      </w:r>
      <w:bookmarkEnd w:id="0"/>
    </w:p>
    <w:p>
      <w:pPr>
        <w:spacing w:line="560" w:lineRule="exact"/>
        <w:ind w:firstLine="602" w:firstLineChars="200"/>
        <w:rPr>
          <w:rFonts w:hint="eastAsia" w:ascii="仿宋_GB2312" w:hAnsi="仿宋_GB2312" w:eastAsia="仿宋_GB2312" w:cs="仿宋_GB2312"/>
          <w:b/>
          <w:bCs/>
          <w:sz w:val="30"/>
          <w:szCs w:val="30"/>
          <w:highlight w:val="none"/>
          <w:lang w:eastAsia="zh-CN"/>
        </w:rPr>
      </w:pPr>
      <w:r>
        <w:rPr>
          <w:rFonts w:hint="eastAsia" w:ascii="仿宋_GB2312" w:hAnsi="仿宋_GB2312" w:eastAsia="仿宋_GB2312" w:cs="仿宋_GB2312"/>
          <w:b/>
          <w:bCs/>
          <w:sz w:val="30"/>
          <w:szCs w:val="30"/>
          <w:highlight w:val="none"/>
        </w:rPr>
        <w:t>特别注意：采购文件标注“★”号或“实质性要求”的为重要条款（含重要的商务和技术条款），文件对这些重要条款的任何负偏离、不响应都将导致 其响应文件作无效处理。</w:t>
      </w:r>
    </w:p>
    <w:p>
      <w:pPr>
        <w:pStyle w:val="2"/>
        <w:keepNext w:val="0"/>
        <w:keepLines w:val="0"/>
        <w:pageBreakBefore w:val="0"/>
        <w:widowControl/>
        <w:kinsoku/>
        <w:wordWrap/>
        <w:overflowPunct/>
        <w:topLinePunct w:val="0"/>
        <w:autoSpaceDE/>
        <w:autoSpaceDN/>
        <w:bidi w:val="0"/>
        <w:adjustRightInd/>
        <w:snapToGrid/>
        <w:spacing w:before="0" w:after="0" w:line="560" w:lineRule="exact"/>
        <w:ind w:leftChars="0" w:firstLine="602" w:firstLineChars="200"/>
        <w:jc w:val="both"/>
        <w:textAlignment w:val="auto"/>
        <w:rPr>
          <w:rFonts w:hint="eastAsia" w:ascii="仿宋_GB2312" w:hAnsi="仿宋_GB2312" w:eastAsia="仿宋_GB2312" w:cs="仿宋_GB2312"/>
          <w:b/>
          <w:bCs w:val="0"/>
          <w:spacing w:val="0"/>
          <w:sz w:val="32"/>
          <w:szCs w:val="32"/>
          <w:lang w:val="en-US" w:eastAsia="zh-CN"/>
        </w:rPr>
      </w:pPr>
      <w:r>
        <w:rPr>
          <w:rFonts w:hint="eastAsia" w:ascii="仿宋_GB2312" w:hAnsi="仿宋_GB2312" w:eastAsia="仿宋_GB2312" w:cs="仿宋_GB2312"/>
          <w:b/>
          <w:bCs/>
          <w:sz w:val="30"/>
          <w:szCs w:val="30"/>
        </w:rPr>
        <w:t>★</w:t>
      </w:r>
      <w:r>
        <w:rPr>
          <w:rFonts w:hint="eastAsia" w:ascii="仿宋_GB2312" w:hAnsi="仿宋_GB2312" w:eastAsia="仿宋_GB2312" w:cs="仿宋_GB2312"/>
          <w:b/>
          <w:bCs w:val="0"/>
          <w:spacing w:val="0"/>
          <w:sz w:val="32"/>
          <w:szCs w:val="32"/>
          <w:lang w:val="en-US" w:eastAsia="zh-CN"/>
        </w:rPr>
        <w:t>一、科研外协技术内容、技术要求与外协周期</w:t>
      </w:r>
    </w:p>
    <w:p>
      <w:pPr>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592" w:firstLineChars="200"/>
        <w:jc w:val="both"/>
        <w:textAlignment w:val="baseline"/>
        <w:rPr>
          <w:rFonts w:hint="eastAsia" w:ascii="仿宋_GB2312" w:hAnsi="仿宋_GB2312" w:eastAsia="仿宋_GB2312" w:cs="仿宋_GB2312"/>
          <w:spacing w:val="-2"/>
          <w:sz w:val="30"/>
          <w:szCs w:val="30"/>
          <w:lang w:val="en-US" w:eastAsia="zh-CN"/>
        </w:rPr>
      </w:pPr>
      <w:r>
        <w:rPr>
          <w:rFonts w:hint="eastAsia" w:ascii="仿宋_GB2312" w:hAnsi="仿宋_GB2312" w:eastAsia="仿宋_GB2312" w:cs="仿宋_GB2312"/>
          <w:spacing w:val="-2"/>
          <w:sz w:val="30"/>
          <w:szCs w:val="30"/>
          <w:lang w:val="en-US" w:eastAsia="zh-CN"/>
        </w:rPr>
        <w:t>1.外协内容</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供应商需按照采购人的图纸要求完成光学元件制造加工，光学、机械性能参数符合图纸技术要求。</w:t>
      </w:r>
    </w:p>
    <w:p>
      <w:pPr>
        <w:spacing w:line="560" w:lineRule="exact"/>
        <w:ind w:firstLine="600" w:firstLineChars="200"/>
        <w:rPr>
          <w:rFonts w:hint="eastAsia" w:ascii="仿宋_GB2312" w:hAnsi="仿宋_GB2312" w:cs="仿宋_GB2312"/>
          <w:spacing w:val="-2"/>
          <w:sz w:val="30"/>
          <w:szCs w:val="30"/>
          <w:u w:val="none" w:color="auto"/>
          <w:lang w:val="en-US" w:eastAsia="zh-CN"/>
        </w:rPr>
      </w:pPr>
      <w:r>
        <w:rPr>
          <w:rFonts w:hint="eastAsia" w:ascii="仿宋_GB2312" w:hAnsi="仿宋_GB2312" w:eastAsia="仿宋_GB2312" w:cs="仿宋_GB2312"/>
          <w:sz w:val="30"/>
          <w:szCs w:val="30"/>
        </w:rPr>
        <w:t>按照技术要求对光学元件进行镀膜处理，详见图纸中的镀膜要求。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Lines="0" w:afterLines="0" w:line="560" w:lineRule="exact"/>
        <w:ind w:leftChars="0" w:right="0" w:rightChars="0" w:firstLine="592" w:firstLineChars="200"/>
        <w:jc w:val="both"/>
        <w:textAlignment w:val="baseline"/>
        <w:rPr>
          <w:rFonts w:hint="eastAsia" w:ascii="仿宋_GB2312" w:hAnsi="仿宋_GB2312" w:eastAsia="仿宋_GB2312" w:cs="仿宋_GB2312"/>
          <w:spacing w:val="-2"/>
          <w:sz w:val="30"/>
          <w:szCs w:val="30"/>
          <w:lang w:val="en-US" w:eastAsia="zh-CN"/>
        </w:rPr>
      </w:pPr>
      <w:r>
        <w:rPr>
          <w:rFonts w:hint="eastAsia" w:ascii="仿宋_GB2312" w:hAnsi="仿宋_GB2312" w:cs="仿宋_GB2312"/>
          <w:spacing w:val="-2"/>
          <w:sz w:val="30"/>
          <w:szCs w:val="30"/>
          <w:lang w:val="en-US" w:eastAsia="zh-CN"/>
        </w:rPr>
        <w:t>2.</w:t>
      </w:r>
      <w:r>
        <w:rPr>
          <w:rFonts w:hint="eastAsia" w:ascii="仿宋_GB2312" w:hAnsi="仿宋_GB2312" w:eastAsia="仿宋_GB2312" w:cs="仿宋_GB2312"/>
          <w:spacing w:val="-2"/>
          <w:sz w:val="30"/>
          <w:szCs w:val="30"/>
          <w:lang w:val="en-US" w:eastAsia="zh-CN"/>
        </w:rPr>
        <w:t>技术要求：</w:t>
      </w:r>
    </w:p>
    <w:p>
      <w:pPr>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592" w:firstLineChars="200"/>
        <w:jc w:val="both"/>
        <w:textAlignment w:val="baseline"/>
        <w:rPr>
          <w:rFonts w:hint="eastAsia" w:ascii="仿宋_GB2312" w:hAnsi="仿宋_GB2312" w:cs="仿宋_GB2312"/>
          <w:spacing w:val="-2"/>
          <w:sz w:val="30"/>
          <w:szCs w:val="30"/>
          <w:lang w:val="en-US" w:eastAsia="zh-CN"/>
        </w:rPr>
      </w:pPr>
      <w:r>
        <w:rPr>
          <w:rFonts w:hint="eastAsia" w:ascii="仿宋_GB2312" w:hAnsi="仿宋_GB2312" w:cs="仿宋_GB2312"/>
          <w:spacing w:val="-2"/>
          <w:sz w:val="30"/>
          <w:szCs w:val="30"/>
          <w:lang w:val="en-US" w:eastAsia="zh-CN"/>
        </w:rPr>
        <w:t>（1）材料：按照图纸要求使用材料，用于产品制造、配套的全部原材料按设计图样要求实施，供应商应执行材料输入质量控制，禁止使用无生产厂家提供标识和性能参数的材料。入库验收时，供应商须核验质量证明书、牌号、外观状态和尺寸，相关资料存档。</w:t>
      </w:r>
    </w:p>
    <w:p>
      <w:pPr>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592" w:firstLineChars="200"/>
        <w:jc w:val="both"/>
        <w:textAlignment w:val="baseline"/>
        <w:rPr>
          <w:rFonts w:hint="eastAsia" w:ascii="仿宋_GB2312" w:hAnsi="仿宋_GB2312" w:cs="仿宋_GB2312"/>
          <w:spacing w:val="-2"/>
          <w:sz w:val="30"/>
          <w:szCs w:val="30"/>
          <w:lang w:val="en-US" w:eastAsia="zh-CN"/>
        </w:rPr>
      </w:pPr>
      <w:r>
        <w:rPr>
          <w:rFonts w:hint="eastAsia" w:ascii="仿宋_GB2312" w:hAnsi="仿宋_GB2312" w:cs="仿宋_GB2312"/>
          <w:spacing w:val="-2"/>
          <w:sz w:val="30"/>
          <w:szCs w:val="30"/>
          <w:lang w:val="en-US" w:eastAsia="zh-CN"/>
        </w:rPr>
        <w:t>（2）尺寸和形位要求。加工尺寸和形位公差必须符合图样要求。技术指标如下：</w:t>
      </w:r>
    </w:p>
    <w:p>
      <w:pPr>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592" w:firstLineChars="200"/>
        <w:jc w:val="both"/>
        <w:textAlignment w:val="baseline"/>
        <w:rPr>
          <w:rFonts w:hint="eastAsia" w:ascii="仿宋_GB2312" w:hAnsi="仿宋_GB2312" w:cs="仿宋_GB2312"/>
          <w:spacing w:val="-2"/>
          <w:sz w:val="30"/>
          <w:szCs w:val="30"/>
          <w:lang w:val="en-US" w:eastAsia="zh-CN"/>
        </w:rPr>
      </w:pPr>
      <w:r>
        <w:rPr>
          <w:rFonts w:hint="eastAsia" w:ascii="仿宋_GB2312" w:hAnsi="仿宋_GB2312" w:cs="仿宋_GB2312"/>
          <w:spacing w:val="-2"/>
          <w:sz w:val="30"/>
          <w:szCs w:val="30"/>
          <w:lang w:val="en-US" w:eastAsia="zh-CN"/>
        </w:rPr>
        <w:t>1）透镜口径：L1-L5镜组口径外公差-0.2mm，内公差0.2mm；L6镜组口径外公差-0.1mm，内公差0.1mm；</w:t>
      </w:r>
    </w:p>
    <w:p>
      <w:pPr>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592" w:firstLineChars="200"/>
        <w:jc w:val="both"/>
        <w:textAlignment w:val="baseline"/>
        <w:rPr>
          <w:rFonts w:hint="eastAsia" w:ascii="仿宋_GB2312" w:hAnsi="仿宋_GB2312" w:cs="仿宋_GB2312"/>
          <w:color w:val="auto"/>
          <w:spacing w:val="-2"/>
          <w:sz w:val="30"/>
          <w:szCs w:val="30"/>
          <w:highlight w:val="none"/>
          <w:lang w:val="en-US" w:eastAsia="zh-CN"/>
        </w:rPr>
      </w:pPr>
      <w:r>
        <w:rPr>
          <w:rFonts w:hint="eastAsia" w:ascii="仿宋_GB2312" w:hAnsi="仿宋_GB2312" w:cs="仿宋_GB2312"/>
          <w:color w:val="auto"/>
          <w:spacing w:val="-2"/>
          <w:sz w:val="30"/>
          <w:szCs w:val="30"/>
          <w:highlight w:val="none"/>
          <w:lang w:val="en-US" w:eastAsia="zh-CN"/>
        </w:rPr>
        <w:t>2）透镜通光口径：L1-L6镜组透镜通光口径满足图纸要求；</w:t>
      </w:r>
    </w:p>
    <w:p>
      <w:pPr>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592" w:firstLineChars="200"/>
        <w:jc w:val="both"/>
        <w:textAlignment w:val="baseline"/>
        <w:rPr>
          <w:rFonts w:hint="eastAsia" w:ascii="仿宋_GB2312" w:hAnsi="仿宋_GB2312" w:cs="仿宋_GB2312"/>
          <w:spacing w:val="-2"/>
          <w:sz w:val="30"/>
          <w:szCs w:val="30"/>
          <w:lang w:val="en-US" w:eastAsia="zh-CN"/>
        </w:rPr>
      </w:pPr>
      <w:r>
        <w:rPr>
          <w:rFonts w:hint="eastAsia" w:ascii="仿宋_GB2312" w:hAnsi="仿宋_GB2312" w:cs="仿宋_GB2312"/>
          <w:spacing w:val="-2"/>
          <w:sz w:val="30"/>
          <w:szCs w:val="30"/>
          <w:lang w:val="en-US" w:eastAsia="zh-CN"/>
        </w:rPr>
        <w:t>3）中心厚度：L1-L5镜组厚度公差±0.2mm；L6镜组厚度公差±0.02mm；</w:t>
      </w:r>
    </w:p>
    <w:p>
      <w:pPr>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592" w:firstLineChars="200"/>
        <w:jc w:val="both"/>
        <w:textAlignment w:val="baseline"/>
        <w:rPr>
          <w:rFonts w:hint="eastAsia" w:ascii="仿宋_GB2312" w:hAnsi="仿宋_GB2312" w:cs="仿宋_GB2312"/>
          <w:spacing w:val="-2"/>
          <w:sz w:val="30"/>
          <w:szCs w:val="30"/>
          <w:lang w:val="en-US" w:eastAsia="zh-CN"/>
        </w:rPr>
      </w:pPr>
      <w:r>
        <w:rPr>
          <w:rFonts w:hint="eastAsia" w:ascii="仿宋_GB2312" w:hAnsi="仿宋_GB2312" w:cs="仿宋_GB2312"/>
          <w:spacing w:val="-2"/>
          <w:sz w:val="30"/>
          <w:szCs w:val="30"/>
          <w:lang w:val="en-US" w:eastAsia="zh-CN"/>
        </w:rPr>
        <w:t>4）表面偏心：L1-L5镜组偏心公差±0.2mm；L6镜组偏心公差±0.02mm；</w:t>
      </w:r>
    </w:p>
    <w:p>
      <w:pPr>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592" w:firstLineChars="200"/>
        <w:jc w:val="both"/>
        <w:textAlignment w:val="baseline"/>
        <w:rPr>
          <w:rFonts w:hint="eastAsia" w:ascii="仿宋_GB2312" w:hAnsi="仿宋_GB2312" w:cs="仿宋_GB2312"/>
          <w:spacing w:val="-2"/>
          <w:sz w:val="30"/>
          <w:szCs w:val="30"/>
          <w:lang w:val="en-US" w:eastAsia="zh-CN"/>
        </w:rPr>
      </w:pPr>
      <w:r>
        <w:rPr>
          <w:rFonts w:hint="eastAsia" w:ascii="仿宋_GB2312" w:hAnsi="仿宋_GB2312" w:cs="仿宋_GB2312"/>
          <w:spacing w:val="-2"/>
          <w:sz w:val="30"/>
          <w:szCs w:val="30"/>
          <w:lang w:val="en-US" w:eastAsia="zh-CN"/>
        </w:rPr>
        <w:t>5）表面倾斜：L1-L5镜组倾斜公差＜0.1°；L6镜组倾斜公差＜0.05°；</w:t>
      </w:r>
    </w:p>
    <w:p>
      <w:pPr>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592" w:firstLineChars="200"/>
        <w:jc w:val="both"/>
        <w:textAlignment w:val="baseline"/>
        <w:rPr>
          <w:rFonts w:hint="eastAsia" w:ascii="仿宋_GB2312" w:hAnsi="仿宋_GB2312" w:cs="仿宋_GB2312"/>
          <w:spacing w:val="-2"/>
          <w:sz w:val="30"/>
          <w:szCs w:val="30"/>
          <w:lang w:val="en-US" w:eastAsia="zh-CN"/>
        </w:rPr>
      </w:pPr>
      <w:r>
        <w:rPr>
          <w:rFonts w:hint="eastAsia" w:ascii="仿宋_GB2312" w:hAnsi="仿宋_GB2312" w:cs="仿宋_GB2312"/>
          <w:spacing w:val="-2"/>
          <w:sz w:val="30"/>
          <w:szCs w:val="30"/>
          <w:lang w:val="en-US" w:eastAsia="zh-CN"/>
        </w:rPr>
        <w:t>6）表面光圈：L1-L5镜组表面光圈＜5；L6镜组表面光圈＜2；</w:t>
      </w:r>
    </w:p>
    <w:p>
      <w:pPr>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592" w:firstLineChars="200"/>
        <w:jc w:val="both"/>
        <w:textAlignment w:val="baseline"/>
        <w:rPr>
          <w:rFonts w:hint="eastAsia" w:ascii="仿宋_GB2312" w:hAnsi="仿宋_GB2312" w:cs="仿宋_GB2312"/>
          <w:spacing w:val="-2"/>
          <w:sz w:val="30"/>
          <w:szCs w:val="30"/>
          <w:lang w:val="en-US" w:eastAsia="zh-CN"/>
        </w:rPr>
      </w:pPr>
      <w:r>
        <w:rPr>
          <w:rFonts w:hint="eastAsia" w:ascii="仿宋_GB2312" w:hAnsi="仿宋_GB2312" w:cs="仿宋_GB2312"/>
          <w:spacing w:val="-2"/>
          <w:sz w:val="30"/>
          <w:szCs w:val="30"/>
          <w:lang w:val="en-US" w:eastAsia="zh-CN"/>
        </w:rPr>
        <w:t>7）局部光圈：1-L5镜组局部光圈＜0.5；L6镜组局部光圈＜0.2；</w:t>
      </w:r>
    </w:p>
    <w:p>
      <w:pPr>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600" w:firstLineChars="200"/>
        <w:jc w:val="both"/>
        <w:textAlignment w:val="baseline"/>
        <w:rPr>
          <w:rFonts w:hint="default" w:ascii="仿宋_GB2312" w:hAnsi="仿宋_GB2312" w:cs="仿宋_GB2312"/>
          <w:spacing w:val="-2"/>
          <w:sz w:val="30"/>
          <w:szCs w:val="30"/>
          <w:lang w:val="en-US" w:eastAsia="zh-CN"/>
        </w:rPr>
      </w:pPr>
      <w:r>
        <w:rPr>
          <w:rFonts w:hint="eastAsia" w:ascii="仿宋_GB2312" w:hAnsi="仿宋_GB2312" w:cs="仿宋_GB2312"/>
          <w:sz w:val="30"/>
          <w:szCs w:val="30"/>
          <w:lang w:val="en-US" w:eastAsia="zh-CN"/>
        </w:rPr>
        <w:t>8）</w:t>
      </w:r>
      <w:r>
        <w:rPr>
          <w:rFonts w:hint="eastAsia" w:ascii="仿宋_GB2312" w:hAnsi="仿宋_GB2312" w:eastAsia="仿宋_GB2312" w:cs="仿宋_GB2312"/>
          <w:sz w:val="30"/>
          <w:szCs w:val="30"/>
        </w:rPr>
        <w:t>乙方提供陪镀片测量报告和数据，透镜在350nm-450nm范围内，光谱平均透过率T≥99.5%；反射镜在350nm-450nm范围内，光谱平均反射率R≥99%。</w:t>
      </w:r>
    </w:p>
    <w:p>
      <w:pPr>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592" w:firstLineChars="200"/>
        <w:jc w:val="both"/>
        <w:textAlignment w:val="baseline"/>
        <w:rPr>
          <w:rFonts w:hint="eastAsia" w:ascii="仿宋_GB2312" w:hAnsi="仿宋_GB2312" w:cs="仿宋_GB2312"/>
          <w:spacing w:val="-2"/>
          <w:sz w:val="30"/>
          <w:szCs w:val="30"/>
          <w:lang w:val="en-US" w:eastAsia="zh-CN"/>
        </w:rPr>
      </w:pPr>
      <w:r>
        <w:rPr>
          <w:rFonts w:hint="eastAsia" w:ascii="仿宋_GB2312" w:hAnsi="仿宋_GB2312" w:cs="仿宋_GB2312"/>
          <w:spacing w:val="-2"/>
          <w:sz w:val="30"/>
          <w:szCs w:val="30"/>
          <w:lang w:val="en-US" w:eastAsia="zh-CN"/>
        </w:rPr>
        <w:t>（3）尺寸稳定性。供应商在加工、表面处理、装配及转移运输过程中，需要采取措施防止零部件产生变形影响零件精度。</w:t>
      </w:r>
    </w:p>
    <w:p>
      <w:pPr>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592" w:firstLineChars="200"/>
        <w:jc w:val="both"/>
        <w:textAlignment w:val="baseline"/>
        <w:rPr>
          <w:rFonts w:hint="eastAsia" w:ascii="仿宋_GB2312" w:hAnsi="仿宋_GB2312" w:cs="仿宋_GB2312"/>
          <w:spacing w:val="-2"/>
          <w:sz w:val="30"/>
          <w:szCs w:val="30"/>
          <w:lang w:val="en-US" w:eastAsia="zh-CN"/>
        </w:rPr>
      </w:pPr>
      <w:r>
        <w:rPr>
          <w:rFonts w:hint="eastAsia" w:ascii="仿宋_GB2312" w:hAnsi="仿宋_GB2312" w:cs="仿宋_GB2312"/>
          <w:spacing w:val="-2"/>
          <w:sz w:val="30"/>
          <w:szCs w:val="30"/>
          <w:lang w:val="en-US" w:eastAsia="zh-CN"/>
        </w:rPr>
        <w:t>（4）供应商严格按照图样要求加工，需要更改图样内容或者超出图样要求的须与采购人协商确认并做好记录。</w:t>
      </w:r>
    </w:p>
    <w:p>
      <w:pPr>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592" w:firstLineChars="200"/>
        <w:jc w:val="both"/>
        <w:textAlignment w:val="baseline"/>
        <w:rPr>
          <w:rFonts w:hint="eastAsia" w:ascii="仿宋_GB2312" w:hAnsi="仿宋_GB2312" w:cs="仿宋_GB2312"/>
          <w:spacing w:val="-2"/>
          <w:sz w:val="30"/>
          <w:szCs w:val="30"/>
          <w:lang w:val="en-US" w:eastAsia="zh-CN"/>
        </w:rPr>
      </w:pPr>
      <w:r>
        <w:rPr>
          <w:rFonts w:hint="eastAsia" w:ascii="仿宋_GB2312" w:hAnsi="仿宋_GB2312" w:cs="仿宋_GB2312"/>
          <w:spacing w:val="-2"/>
          <w:sz w:val="30"/>
          <w:szCs w:val="30"/>
          <w:lang w:val="en-US" w:eastAsia="zh-CN"/>
        </w:rPr>
        <w:t>（5）配作、配研零件须在非工作表面设置明显配对标识，标识在生产、运输和交付时不得脱落和辨识不清。</w:t>
      </w:r>
    </w:p>
    <w:p>
      <w:pPr>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592" w:firstLineChars="200"/>
        <w:jc w:val="both"/>
        <w:textAlignment w:val="baseline"/>
        <w:rPr>
          <w:rFonts w:hint="default" w:ascii="仿宋_GB2312" w:hAnsi="仿宋_GB2312" w:eastAsia="仿宋_GB2312" w:cs="仿宋_GB2312"/>
          <w:spacing w:val="-2"/>
          <w:sz w:val="30"/>
          <w:szCs w:val="30"/>
          <w:lang w:val="en-US" w:eastAsia="zh-CN"/>
        </w:rPr>
      </w:pPr>
      <w:r>
        <w:rPr>
          <w:rFonts w:hint="eastAsia" w:ascii="仿宋_GB2312" w:hAnsi="仿宋_GB2312" w:cs="仿宋_GB2312"/>
          <w:spacing w:val="-2"/>
          <w:sz w:val="30"/>
          <w:szCs w:val="30"/>
          <w:lang w:val="en-US" w:eastAsia="zh-CN"/>
        </w:rPr>
        <w:t>3</w:t>
      </w:r>
      <w:r>
        <w:rPr>
          <w:rFonts w:hint="eastAsia" w:ascii="仿宋_GB2312" w:hAnsi="仿宋_GB2312" w:eastAsia="仿宋_GB2312" w:cs="仿宋_GB2312"/>
          <w:spacing w:val="-2"/>
          <w:sz w:val="30"/>
          <w:szCs w:val="30"/>
          <w:lang w:val="en-US" w:eastAsia="zh-CN"/>
        </w:rPr>
        <w:t>.外协周期：</w:t>
      </w:r>
      <w:r>
        <w:rPr>
          <w:rFonts w:hint="eastAsia" w:ascii="仿宋_GB2312" w:hAnsi="仿宋_GB2312" w:cs="仿宋_GB2312"/>
          <w:spacing w:val="-2"/>
          <w:sz w:val="30"/>
          <w:szCs w:val="30"/>
          <w:lang w:val="en-US" w:eastAsia="zh-CN"/>
        </w:rPr>
        <w:t>50个自然日。</w:t>
      </w:r>
    </w:p>
    <w:p>
      <w:pPr>
        <w:spacing w:line="560" w:lineRule="exact"/>
        <w:ind w:firstLine="592" w:firstLineChars="200"/>
        <w:rPr>
          <w:rFonts w:hint="eastAsia" w:ascii="仿宋_GB2312" w:hAnsi="仿宋_GB2312" w:eastAsia="仿宋_GB2312" w:cs="仿宋_GB2312"/>
          <w:sz w:val="30"/>
          <w:szCs w:val="30"/>
        </w:rPr>
      </w:pPr>
      <w:r>
        <w:rPr>
          <w:rFonts w:hint="eastAsia" w:ascii="仿宋_GB2312" w:hAnsi="仿宋_GB2312" w:cs="仿宋_GB2312"/>
          <w:spacing w:val="-2"/>
          <w:sz w:val="30"/>
          <w:szCs w:val="30"/>
          <w:lang w:val="en-US" w:eastAsia="zh-CN"/>
        </w:rPr>
        <w:t>4</w:t>
      </w:r>
      <w:r>
        <w:rPr>
          <w:rFonts w:hint="eastAsia" w:ascii="仿宋_GB2312" w:hAnsi="仿宋_GB2312" w:eastAsia="仿宋_GB2312" w:cs="仿宋_GB2312"/>
          <w:spacing w:val="-2"/>
          <w:sz w:val="30"/>
          <w:szCs w:val="30"/>
          <w:lang w:val="en-US" w:eastAsia="zh-CN"/>
        </w:rPr>
        <w:t>.</w:t>
      </w:r>
      <w:r>
        <w:rPr>
          <w:rFonts w:hint="eastAsia" w:ascii="仿宋_GB2312" w:hAnsi="仿宋_GB2312" w:cs="仿宋_GB2312"/>
          <w:spacing w:val="-2"/>
          <w:sz w:val="30"/>
          <w:szCs w:val="30"/>
          <w:lang w:val="en-US" w:eastAsia="zh-CN"/>
        </w:rPr>
        <w:t>成果交付:</w:t>
      </w:r>
      <w:r>
        <w:rPr>
          <w:rFonts w:hint="eastAsia" w:ascii="仿宋_GB2312" w:hAnsi="仿宋_GB2312" w:eastAsia="仿宋_GB2312" w:cs="仿宋_GB2312"/>
          <w:sz w:val="30"/>
          <w:szCs w:val="30"/>
        </w:rPr>
        <w:t>交付内容包括光学镜片实物，指标测试报告等，具体交付内容如下</w:t>
      </w:r>
      <w:r>
        <w:rPr>
          <w:rFonts w:hint="eastAsia" w:ascii="仿宋_GB2312" w:hAnsi="仿宋_GB2312" w:cs="仿宋_GB2312"/>
          <w:sz w:val="30"/>
          <w:szCs w:val="30"/>
          <w:lang w:val="en-US" w:eastAsia="zh-CN"/>
        </w:rPr>
        <w:t>表所示</w:t>
      </w:r>
      <w:r>
        <w:rPr>
          <w:rFonts w:hint="eastAsia" w:ascii="仿宋_GB2312" w:hAnsi="仿宋_GB2312" w:eastAsia="仿宋_GB2312" w:cs="仿宋_GB2312"/>
          <w:sz w:val="30"/>
          <w:szCs w:val="30"/>
        </w:rPr>
        <w:t>：</w:t>
      </w:r>
    </w:p>
    <w:tbl>
      <w:tblPr>
        <w:tblStyle w:val="7"/>
        <w:tblW w:w="87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left w:w="60" w:type="dxa"/>
          <w:bottom w:w="60" w:type="dxa"/>
          <w:right w:w="60" w:type="dxa"/>
        </w:tblCellMar>
      </w:tblPr>
      <w:tblGrid>
        <w:gridCol w:w="871"/>
        <w:gridCol w:w="1424"/>
        <w:gridCol w:w="1434"/>
        <w:gridCol w:w="867"/>
        <w:gridCol w:w="4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left w:w="60" w:type="dxa"/>
            <w:bottom w:w="60" w:type="dxa"/>
            <w:right w:w="60" w:type="dxa"/>
          </w:tblCellMar>
        </w:tblPrEx>
        <w:trPr>
          <w:trHeight w:val="197" w:hRule="atLeast"/>
          <w:jc w:val="center"/>
        </w:trPr>
        <w:tc>
          <w:tcPr>
            <w:tcW w:w="871" w:type="dxa"/>
            <w:tcMar>
              <w:top w:w="60" w:type="dxa"/>
              <w:left w:w="60" w:type="dxa"/>
              <w:bottom w:w="60" w:type="dxa"/>
              <w:right w:w="60" w:type="dxa"/>
            </w:tcMar>
            <w:vAlign w:val="center"/>
          </w:tcPr>
          <w:p>
            <w:pPr>
              <w:pStyle w:val="9"/>
              <w:spacing w:before="0" w:after="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424" w:type="dxa"/>
            <w:vAlign w:val="center"/>
          </w:tcPr>
          <w:p>
            <w:pPr>
              <w:pStyle w:val="9"/>
              <w:spacing w:before="0" w:after="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类型</w:t>
            </w:r>
          </w:p>
        </w:tc>
        <w:tc>
          <w:tcPr>
            <w:tcW w:w="1434" w:type="dxa"/>
            <w:tcMar>
              <w:top w:w="60" w:type="dxa"/>
              <w:left w:w="60" w:type="dxa"/>
              <w:bottom w:w="60" w:type="dxa"/>
              <w:right w:w="60" w:type="dxa"/>
            </w:tcMar>
            <w:vAlign w:val="center"/>
          </w:tcPr>
          <w:p>
            <w:pPr>
              <w:pStyle w:val="9"/>
              <w:spacing w:before="0" w:after="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数量</w:t>
            </w:r>
          </w:p>
        </w:tc>
        <w:tc>
          <w:tcPr>
            <w:tcW w:w="867" w:type="dxa"/>
            <w:vAlign w:val="center"/>
          </w:tcPr>
          <w:p>
            <w:pPr>
              <w:pStyle w:val="9"/>
              <w:spacing w:before="0" w:after="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单位</w:t>
            </w:r>
          </w:p>
        </w:tc>
        <w:tc>
          <w:tcPr>
            <w:tcW w:w="4185" w:type="dxa"/>
            <w:tcMar>
              <w:top w:w="60" w:type="dxa"/>
              <w:left w:w="60" w:type="dxa"/>
              <w:bottom w:w="60" w:type="dxa"/>
              <w:right w:w="60" w:type="dxa"/>
            </w:tcMar>
            <w:vAlign w:val="center"/>
          </w:tcPr>
          <w:p>
            <w:pPr>
              <w:pStyle w:val="9"/>
              <w:spacing w:before="0" w:after="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left w:w="60" w:type="dxa"/>
            <w:bottom w:w="60" w:type="dxa"/>
            <w:right w:w="60" w:type="dxa"/>
          </w:tblCellMar>
        </w:tblPrEx>
        <w:trPr>
          <w:jc w:val="center"/>
        </w:trPr>
        <w:tc>
          <w:tcPr>
            <w:tcW w:w="871" w:type="dxa"/>
            <w:tcMar>
              <w:top w:w="60" w:type="dxa"/>
              <w:left w:w="60" w:type="dxa"/>
              <w:bottom w:w="60" w:type="dxa"/>
              <w:right w:w="60"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lang w:val="en-US" w:eastAsia="zh-CN"/>
              </w:rPr>
              <w:t>1</w:t>
            </w:r>
          </w:p>
        </w:tc>
        <w:tc>
          <w:tcPr>
            <w:tcW w:w="142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lang w:val="en-US" w:eastAsia="zh-CN"/>
              </w:rPr>
              <w:t>光学透镜</w:t>
            </w:r>
          </w:p>
        </w:tc>
        <w:tc>
          <w:tcPr>
            <w:tcW w:w="1434" w:type="dxa"/>
            <w:tcMar>
              <w:top w:w="60" w:type="dxa"/>
              <w:left w:w="60" w:type="dxa"/>
              <w:bottom w:w="60" w:type="dxa"/>
              <w:right w:w="60"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仿宋_GB2312" w:hAnsi="仿宋_GB2312" w:eastAsia="仿宋_GB2312" w:cs="仿宋_GB2312"/>
                <w:spacing w:val="-2"/>
                <w:sz w:val="24"/>
                <w:szCs w:val="24"/>
                <w:lang w:val="en-US" w:eastAsia="zh-CN"/>
              </w:rPr>
            </w:pPr>
            <w:r>
              <w:rPr>
                <w:rFonts w:hint="eastAsia" w:ascii="仿宋_GB2312" w:hAnsi="仿宋_GB2312" w:cs="仿宋_GB2312"/>
                <w:spacing w:val="-2"/>
                <w:sz w:val="24"/>
                <w:szCs w:val="24"/>
                <w:lang w:val="en-US" w:eastAsia="zh-CN"/>
              </w:rPr>
              <w:t>53</w:t>
            </w:r>
          </w:p>
        </w:tc>
        <w:tc>
          <w:tcPr>
            <w:tcW w:w="86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lang w:val="en-US" w:eastAsia="zh-CN"/>
              </w:rPr>
              <w:t>片</w:t>
            </w:r>
          </w:p>
        </w:tc>
        <w:tc>
          <w:tcPr>
            <w:tcW w:w="4185" w:type="dxa"/>
            <w:tcMar>
              <w:top w:w="60" w:type="dxa"/>
              <w:left w:w="60" w:type="dxa"/>
              <w:bottom w:w="60" w:type="dxa"/>
              <w:right w:w="60"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lang w:val="en-US" w:eastAsia="zh-CN"/>
              </w:rPr>
              <w:t>技术要求见附件一图纸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left w:w="60" w:type="dxa"/>
            <w:bottom w:w="60" w:type="dxa"/>
            <w:right w:w="60" w:type="dxa"/>
          </w:tblCellMar>
        </w:tblPrEx>
        <w:trPr>
          <w:jc w:val="center"/>
        </w:trPr>
        <w:tc>
          <w:tcPr>
            <w:tcW w:w="871" w:type="dxa"/>
            <w:tcMar>
              <w:top w:w="60" w:type="dxa"/>
              <w:left w:w="60" w:type="dxa"/>
              <w:bottom w:w="60" w:type="dxa"/>
              <w:right w:w="60"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lang w:val="en-US" w:eastAsia="zh-CN"/>
              </w:rPr>
              <w:t>2</w:t>
            </w:r>
          </w:p>
        </w:tc>
        <w:tc>
          <w:tcPr>
            <w:tcW w:w="142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lang w:val="en-US" w:eastAsia="zh-CN"/>
              </w:rPr>
              <w:t>光学反射镜</w:t>
            </w:r>
          </w:p>
        </w:tc>
        <w:tc>
          <w:tcPr>
            <w:tcW w:w="1434" w:type="dxa"/>
            <w:tcMar>
              <w:top w:w="60" w:type="dxa"/>
              <w:left w:w="60" w:type="dxa"/>
              <w:bottom w:w="60" w:type="dxa"/>
              <w:right w:w="60"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lang w:val="en-US" w:eastAsia="zh-CN"/>
              </w:rPr>
              <w:t>5</w:t>
            </w:r>
          </w:p>
        </w:tc>
        <w:tc>
          <w:tcPr>
            <w:tcW w:w="86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lang w:val="en-US" w:eastAsia="zh-CN"/>
              </w:rPr>
              <w:t>套</w:t>
            </w:r>
          </w:p>
        </w:tc>
        <w:tc>
          <w:tcPr>
            <w:tcW w:w="4185" w:type="dxa"/>
            <w:tcMar>
              <w:top w:w="60" w:type="dxa"/>
              <w:left w:w="60" w:type="dxa"/>
              <w:bottom w:w="60" w:type="dxa"/>
              <w:right w:w="60"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lang w:val="en-US" w:eastAsia="zh-CN"/>
              </w:rPr>
              <w:t>技术要求见附件一图纸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left w:w="60" w:type="dxa"/>
            <w:bottom w:w="60" w:type="dxa"/>
            <w:right w:w="60" w:type="dxa"/>
          </w:tblCellMar>
        </w:tblPrEx>
        <w:trPr>
          <w:jc w:val="center"/>
        </w:trPr>
        <w:tc>
          <w:tcPr>
            <w:tcW w:w="871" w:type="dxa"/>
            <w:tcMar>
              <w:top w:w="60" w:type="dxa"/>
              <w:left w:w="60" w:type="dxa"/>
              <w:bottom w:w="60" w:type="dxa"/>
              <w:right w:w="60"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lang w:val="en-US" w:eastAsia="zh-CN"/>
              </w:rPr>
              <w:t>3</w:t>
            </w:r>
          </w:p>
        </w:tc>
        <w:tc>
          <w:tcPr>
            <w:tcW w:w="142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lang w:val="en-US" w:eastAsia="zh-CN"/>
              </w:rPr>
              <w:t>测试报告</w:t>
            </w:r>
          </w:p>
        </w:tc>
        <w:tc>
          <w:tcPr>
            <w:tcW w:w="1434" w:type="dxa"/>
            <w:tcMar>
              <w:top w:w="60" w:type="dxa"/>
              <w:left w:w="60" w:type="dxa"/>
              <w:bottom w:w="60" w:type="dxa"/>
              <w:right w:w="60"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lang w:val="en-US" w:eastAsia="zh-CN"/>
              </w:rPr>
              <w:t>1</w:t>
            </w:r>
          </w:p>
        </w:tc>
        <w:tc>
          <w:tcPr>
            <w:tcW w:w="86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lang w:val="en-US" w:eastAsia="zh-CN"/>
              </w:rPr>
              <w:t>份</w:t>
            </w:r>
          </w:p>
        </w:tc>
        <w:tc>
          <w:tcPr>
            <w:tcW w:w="4185" w:type="dxa"/>
            <w:tcMar>
              <w:top w:w="60" w:type="dxa"/>
              <w:left w:w="60" w:type="dxa"/>
              <w:bottom w:w="60" w:type="dxa"/>
              <w:right w:w="60"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lang w:val="en-US" w:eastAsia="zh-CN"/>
              </w:rPr>
              <w:t>包括但不限于以下内容：1）透镜口径；2）透镜通光口径；3）中心厚度；4）表面偏心；5）表面倾斜；6）表面光圈；7）局部光圈；8）乙方提供陪镀片测量报告和数据，光谱平均透过率T</w:t>
            </w:r>
            <w:r>
              <w:rPr>
                <w:rFonts w:hint="eastAsia" w:ascii="仿宋_GB2312" w:hAnsi="仿宋_GB2312" w:cs="仿宋_GB2312"/>
                <w:spacing w:val="-2"/>
                <w:sz w:val="24"/>
                <w:szCs w:val="24"/>
                <w:lang w:val="en-US" w:eastAsia="zh-CN"/>
              </w:rPr>
              <w:t>。（注：所有镜片都必须包含测试报告）</w:t>
            </w:r>
          </w:p>
        </w:tc>
      </w:tr>
    </w:tbl>
    <w:p>
      <w:pPr>
        <w:spacing w:line="56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5.验收方式：</w:t>
      </w:r>
    </w:p>
    <w:p>
      <w:pPr>
        <w:spacing w:line="56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cs="仿宋_GB2312"/>
          <w:sz w:val="30"/>
          <w:szCs w:val="30"/>
          <w:lang w:val="en-US" w:eastAsia="zh-CN"/>
        </w:rPr>
        <w:t>（1）</w:t>
      </w:r>
      <w:r>
        <w:rPr>
          <w:rFonts w:hint="eastAsia" w:ascii="仿宋_GB2312" w:hAnsi="仿宋_GB2312" w:eastAsia="仿宋_GB2312" w:cs="仿宋_GB2312"/>
          <w:sz w:val="30"/>
          <w:szCs w:val="30"/>
          <w:lang w:val="en-US" w:eastAsia="zh-CN"/>
        </w:rPr>
        <w:t>外协方在完成光学元件加工后，通知甲方下场验收，针对光学元件的指标进行测试、确认、签字确认；</w:t>
      </w:r>
    </w:p>
    <w:p>
      <w:pPr>
        <w:spacing w:line="56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cs="仿宋_GB2312"/>
          <w:sz w:val="30"/>
          <w:szCs w:val="30"/>
          <w:lang w:val="en-US" w:eastAsia="zh-CN"/>
        </w:rPr>
        <w:t>（2）</w:t>
      </w:r>
      <w:r>
        <w:rPr>
          <w:rFonts w:hint="eastAsia" w:ascii="仿宋_GB2312" w:hAnsi="仿宋_GB2312" w:eastAsia="仿宋_GB2312" w:cs="仿宋_GB2312"/>
          <w:sz w:val="30"/>
          <w:szCs w:val="30"/>
          <w:lang w:val="en-US" w:eastAsia="zh-CN"/>
        </w:rPr>
        <w:t>供应商应具备完整的质量管理体系，严格生产过程中的质量要求，保留过程文件备查；</w:t>
      </w:r>
    </w:p>
    <w:p>
      <w:pPr>
        <w:spacing w:line="56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cs="仿宋_GB2312"/>
          <w:sz w:val="30"/>
          <w:szCs w:val="30"/>
          <w:lang w:val="en-US" w:eastAsia="zh-CN"/>
        </w:rPr>
        <w:t>（3）</w:t>
      </w:r>
      <w:r>
        <w:rPr>
          <w:rFonts w:hint="eastAsia" w:ascii="仿宋_GB2312" w:hAnsi="仿宋_GB2312" w:eastAsia="仿宋_GB2312" w:cs="仿宋_GB2312"/>
          <w:sz w:val="30"/>
          <w:szCs w:val="30"/>
          <w:lang w:val="en-US" w:eastAsia="zh-CN"/>
        </w:rPr>
        <w:t>配合甲方完成必要的方案修改和调整；</w:t>
      </w:r>
    </w:p>
    <w:p>
      <w:pPr>
        <w:spacing w:line="56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cs="仿宋_GB2312"/>
          <w:sz w:val="30"/>
          <w:szCs w:val="30"/>
          <w:lang w:val="en-US" w:eastAsia="zh-CN"/>
        </w:rPr>
        <w:t>（4）</w:t>
      </w:r>
      <w:r>
        <w:rPr>
          <w:rFonts w:hint="eastAsia" w:ascii="仿宋_GB2312" w:hAnsi="仿宋_GB2312" w:eastAsia="仿宋_GB2312" w:cs="仿宋_GB2312"/>
          <w:sz w:val="30"/>
          <w:szCs w:val="30"/>
          <w:lang w:val="en-US" w:eastAsia="zh-CN"/>
        </w:rPr>
        <w:t>交付时产品外观无缺陷、破损等问题；</w:t>
      </w:r>
    </w:p>
    <w:p>
      <w:pPr>
        <w:spacing w:line="560" w:lineRule="exact"/>
        <w:ind w:firstLine="600" w:firstLineChars="200"/>
        <w:rPr>
          <w:rFonts w:hint="default" w:ascii="仿宋_GB2312" w:hAnsi="仿宋_GB2312" w:eastAsia="仿宋_GB2312" w:cs="仿宋_GB2312"/>
          <w:sz w:val="30"/>
          <w:szCs w:val="30"/>
          <w:lang w:val="en-US" w:eastAsia="zh-CN"/>
        </w:rPr>
      </w:pPr>
      <w:r>
        <w:rPr>
          <w:rFonts w:hint="eastAsia" w:ascii="仿宋_GB2312" w:hAnsi="仿宋_GB2312" w:cs="仿宋_GB2312"/>
          <w:sz w:val="30"/>
          <w:szCs w:val="30"/>
          <w:lang w:val="en-US" w:eastAsia="zh-CN"/>
        </w:rPr>
        <w:t>（5）</w:t>
      </w:r>
      <w:r>
        <w:rPr>
          <w:rFonts w:hint="eastAsia" w:ascii="仿宋_GB2312" w:hAnsi="仿宋_GB2312" w:eastAsia="仿宋_GB2312" w:cs="仿宋_GB2312"/>
          <w:sz w:val="30"/>
          <w:szCs w:val="30"/>
          <w:lang w:val="en-US" w:eastAsia="zh-CN"/>
        </w:rPr>
        <w:t>包装运输：外协方须对成品件进行妥善包装，并负责运输至甲方指定交付地点</w:t>
      </w:r>
      <w:r>
        <w:rPr>
          <w:rFonts w:hint="eastAsia" w:ascii="仿宋_GB2312" w:hAnsi="仿宋_GB2312" w:cs="仿宋_GB2312"/>
          <w:sz w:val="30"/>
          <w:szCs w:val="30"/>
          <w:lang w:val="en-US" w:eastAsia="zh-CN"/>
        </w:rPr>
        <w:t>。</w:t>
      </w:r>
    </w:p>
    <w:tbl>
      <w:tblPr>
        <w:tblStyle w:val="7"/>
        <w:tblW w:w="91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left w:w="60" w:type="dxa"/>
          <w:bottom w:w="60" w:type="dxa"/>
          <w:right w:w="60" w:type="dxa"/>
        </w:tblCellMar>
      </w:tblPr>
      <w:tblGrid>
        <w:gridCol w:w="602"/>
        <w:gridCol w:w="3004"/>
        <w:gridCol w:w="2949"/>
        <w:gridCol w:w="1935"/>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left w:w="60" w:type="dxa"/>
            <w:bottom w:w="60" w:type="dxa"/>
            <w:right w:w="60" w:type="dxa"/>
          </w:tblCellMar>
        </w:tblPrEx>
        <w:trPr>
          <w:trHeight w:val="197" w:hRule="atLeast"/>
          <w:jc w:val="center"/>
        </w:trPr>
        <w:tc>
          <w:tcPr>
            <w:tcW w:w="602" w:type="dxa"/>
            <w:tcMar>
              <w:top w:w="60" w:type="dxa"/>
              <w:left w:w="60" w:type="dxa"/>
              <w:bottom w:w="60" w:type="dxa"/>
              <w:right w:w="60" w:type="dxa"/>
            </w:tcMar>
            <w:vAlign w:val="center"/>
          </w:tcPr>
          <w:p>
            <w:pPr>
              <w:pStyle w:val="9"/>
              <w:spacing w:before="0" w:after="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3004" w:type="dxa"/>
            <w:vAlign w:val="center"/>
          </w:tcPr>
          <w:p>
            <w:pPr>
              <w:pStyle w:val="9"/>
              <w:spacing w:before="0" w:after="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类型</w:t>
            </w:r>
          </w:p>
        </w:tc>
        <w:tc>
          <w:tcPr>
            <w:tcW w:w="2949" w:type="dxa"/>
            <w:tcMar>
              <w:top w:w="60" w:type="dxa"/>
              <w:left w:w="60" w:type="dxa"/>
              <w:bottom w:w="60" w:type="dxa"/>
              <w:right w:w="60" w:type="dxa"/>
            </w:tcMar>
            <w:vAlign w:val="center"/>
          </w:tcPr>
          <w:p>
            <w:pPr>
              <w:pStyle w:val="9"/>
              <w:spacing w:before="0" w:after="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验收要求</w:t>
            </w:r>
          </w:p>
        </w:tc>
        <w:tc>
          <w:tcPr>
            <w:tcW w:w="1935" w:type="dxa"/>
          </w:tcPr>
          <w:p>
            <w:pPr>
              <w:pStyle w:val="9"/>
              <w:spacing w:before="0" w:after="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验收方法</w:t>
            </w:r>
          </w:p>
        </w:tc>
        <w:tc>
          <w:tcPr>
            <w:tcW w:w="703" w:type="dxa"/>
            <w:tcMar>
              <w:top w:w="60" w:type="dxa"/>
              <w:left w:w="60" w:type="dxa"/>
              <w:bottom w:w="60" w:type="dxa"/>
              <w:right w:w="60" w:type="dxa"/>
            </w:tcMar>
            <w:vAlign w:val="center"/>
          </w:tcPr>
          <w:p>
            <w:pPr>
              <w:pStyle w:val="9"/>
              <w:spacing w:before="0" w:after="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left w:w="60" w:type="dxa"/>
            <w:bottom w:w="60" w:type="dxa"/>
            <w:right w:w="60" w:type="dxa"/>
          </w:tblCellMar>
        </w:tblPrEx>
        <w:trPr>
          <w:jc w:val="center"/>
        </w:trPr>
        <w:tc>
          <w:tcPr>
            <w:tcW w:w="602" w:type="dxa"/>
            <w:tcMar>
              <w:top w:w="60" w:type="dxa"/>
              <w:left w:w="60" w:type="dxa"/>
              <w:bottom w:w="60" w:type="dxa"/>
              <w:right w:w="60" w:type="dxa"/>
            </w:tcMar>
            <w:vAlign w:val="center"/>
          </w:tcPr>
          <w:p>
            <w:pPr>
              <w:pStyle w:val="9"/>
              <w:spacing w:before="0" w:after="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3004" w:type="dxa"/>
            <w:vAlign w:val="center"/>
          </w:tcPr>
          <w:p>
            <w:pPr>
              <w:pStyle w:val="9"/>
              <w:spacing w:before="0" w:after="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外协厂家按照我方光学元件设计图纸完成光学元件加工</w:t>
            </w:r>
          </w:p>
        </w:tc>
        <w:tc>
          <w:tcPr>
            <w:tcW w:w="2949" w:type="dxa"/>
            <w:tcMar>
              <w:top w:w="60" w:type="dxa"/>
              <w:left w:w="60" w:type="dxa"/>
              <w:bottom w:w="60" w:type="dxa"/>
              <w:right w:w="60" w:type="dxa"/>
            </w:tcMar>
            <w:vAlign w:val="center"/>
          </w:tcPr>
          <w:p>
            <w:pPr>
              <w:pStyle w:val="9"/>
              <w:spacing w:before="0" w:after="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图纸设计要求，乙方提供测试报告和数据，报告中应包括透镜口径、透镜通光口径、中心厚度、表面偏心、表面倾斜、表面光圈和局部光圈加工情况，甲方下场实际测量验收，尺寸、公差满足满足要求即为合格。</w:t>
            </w:r>
          </w:p>
        </w:tc>
        <w:tc>
          <w:tcPr>
            <w:tcW w:w="1935" w:type="dxa"/>
            <w:vAlign w:val="center"/>
          </w:tcPr>
          <w:p>
            <w:pPr>
              <w:pStyle w:val="9"/>
              <w:spacing w:before="0" w:after="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乙方自测试、甲方下场验收。</w:t>
            </w:r>
          </w:p>
        </w:tc>
        <w:tc>
          <w:tcPr>
            <w:tcW w:w="703" w:type="dxa"/>
            <w:tcMar>
              <w:top w:w="60" w:type="dxa"/>
              <w:left w:w="60" w:type="dxa"/>
              <w:bottom w:w="60" w:type="dxa"/>
              <w:right w:w="60" w:type="dxa"/>
            </w:tcMar>
            <w:vAlign w:val="center"/>
          </w:tcPr>
          <w:p>
            <w:pPr>
              <w:pStyle w:val="9"/>
              <w:spacing w:before="0" w:after="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left w:w="60" w:type="dxa"/>
            <w:bottom w:w="60" w:type="dxa"/>
            <w:right w:w="60" w:type="dxa"/>
          </w:tblCellMar>
        </w:tblPrEx>
        <w:trPr>
          <w:jc w:val="center"/>
        </w:trPr>
        <w:tc>
          <w:tcPr>
            <w:tcW w:w="602" w:type="dxa"/>
            <w:tcMar>
              <w:top w:w="60" w:type="dxa"/>
              <w:left w:w="60" w:type="dxa"/>
              <w:bottom w:w="60" w:type="dxa"/>
              <w:right w:w="60" w:type="dxa"/>
            </w:tcMar>
            <w:vAlign w:val="center"/>
          </w:tcPr>
          <w:p>
            <w:pPr>
              <w:pStyle w:val="9"/>
              <w:spacing w:before="0" w:after="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3004" w:type="dxa"/>
            <w:vAlign w:val="center"/>
          </w:tcPr>
          <w:p>
            <w:pPr>
              <w:pStyle w:val="9"/>
              <w:spacing w:before="0" w:after="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外协厂家按照我方光学元件设计图纸完成光学元件光学镀膜</w:t>
            </w:r>
          </w:p>
        </w:tc>
        <w:tc>
          <w:tcPr>
            <w:tcW w:w="2949" w:type="dxa"/>
            <w:tcMar>
              <w:top w:w="60" w:type="dxa"/>
              <w:left w:w="60" w:type="dxa"/>
              <w:bottom w:w="60" w:type="dxa"/>
              <w:right w:w="60" w:type="dxa"/>
            </w:tcMar>
            <w:vAlign w:val="center"/>
          </w:tcPr>
          <w:p>
            <w:pPr>
              <w:pStyle w:val="9"/>
              <w:spacing w:before="0" w:after="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乙方提供陪镀片测量报告和数据，透镜在350nm-450nm范围内，光谱平均透过率T≥99.5%；反射镜在350nm-450nm范围内，光谱平均反射率R≥99%。</w:t>
            </w:r>
          </w:p>
        </w:tc>
        <w:tc>
          <w:tcPr>
            <w:tcW w:w="1935" w:type="dxa"/>
            <w:vAlign w:val="center"/>
          </w:tcPr>
          <w:p>
            <w:pPr>
              <w:pStyle w:val="9"/>
              <w:spacing w:before="0" w:after="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乙方自测试、甲方下场验收。</w:t>
            </w:r>
          </w:p>
        </w:tc>
        <w:tc>
          <w:tcPr>
            <w:tcW w:w="703" w:type="dxa"/>
            <w:tcMar>
              <w:top w:w="60" w:type="dxa"/>
              <w:left w:w="60" w:type="dxa"/>
              <w:bottom w:w="60" w:type="dxa"/>
              <w:right w:w="60" w:type="dxa"/>
            </w:tcMar>
            <w:vAlign w:val="center"/>
          </w:tcPr>
          <w:p>
            <w:pPr>
              <w:pStyle w:val="9"/>
              <w:spacing w:before="0" w:after="0"/>
              <w:rPr>
                <w:rFonts w:hint="eastAsia" w:ascii="仿宋_GB2312" w:hAnsi="仿宋_GB2312" w:eastAsia="仿宋_GB2312" w:cs="仿宋_GB2312"/>
                <w:sz w:val="24"/>
                <w:szCs w:val="24"/>
              </w:rPr>
            </w:pPr>
          </w:p>
        </w:tc>
      </w:tr>
    </w:tbl>
    <w:p>
      <w:pPr>
        <w:pStyle w:val="2"/>
        <w:keepNext w:val="0"/>
        <w:keepLines w:val="0"/>
        <w:pageBreakBefore w:val="0"/>
        <w:widowControl/>
        <w:kinsoku/>
        <w:wordWrap/>
        <w:overflowPunct/>
        <w:topLinePunct w:val="0"/>
        <w:autoSpaceDE/>
        <w:autoSpaceDN/>
        <w:bidi w:val="0"/>
        <w:adjustRightInd/>
        <w:snapToGrid/>
        <w:spacing w:before="0" w:after="0" w:line="560" w:lineRule="exact"/>
        <w:ind w:leftChars="0" w:firstLine="602" w:firstLineChars="200"/>
        <w:jc w:val="both"/>
        <w:textAlignment w:val="auto"/>
        <w:rPr>
          <w:rFonts w:hint="eastAsia" w:ascii="仿宋_GB2312" w:hAnsi="仿宋_GB2312" w:eastAsia="仿宋_GB2312" w:cs="仿宋_GB2312"/>
          <w:b/>
          <w:bCs w:val="0"/>
          <w:spacing w:val="0"/>
          <w:sz w:val="32"/>
          <w:szCs w:val="32"/>
          <w:lang w:val="en-US" w:eastAsia="zh-CN"/>
        </w:rPr>
      </w:pPr>
      <w:r>
        <w:rPr>
          <w:rFonts w:hint="eastAsia" w:ascii="仿宋_GB2312" w:hAnsi="仿宋_GB2312" w:eastAsia="仿宋_GB2312" w:cs="仿宋_GB2312"/>
          <w:b/>
          <w:bCs/>
          <w:sz w:val="30"/>
          <w:szCs w:val="30"/>
        </w:rPr>
        <w:t>★</w:t>
      </w:r>
      <w:r>
        <w:rPr>
          <w:rFonts w:hint="eastAsia" w:ascii="仿宋_GB2312" w:hAnsi="仿宋_GB2312" w:eastAsia="仿宋_GB2312" w:cs="仿宋_GB2312"/>
          <w:b/>
          <w:bCs w:val="0"/>
          <w:spacing w:val="0"/>
          <w:sz w:val="32"/>
          <w:szCs w:val="32"/>
          <w:lang w:val="en-US" w:eastAsia="zh-CN"/>
        </w:rPr>
        <w:t>二、付款方式</w:t>
      </w:r>
    </w:p>
    <w:p>
      <w:pPr>
        <w:pStyle w:val="10"/>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600" w:firstLineChars="200"/>
        <w:jc w:val="both"/>
        <w:textAlignment w:val="baseline"/>
        <w:rPr>
          <w:rFonts w:hint="eastAsia" w:ascii="仿宋_GB2312" w:hAnsi="仿宋_GB2312" w:cs="仿宋_GB2312"/>
          <w:spacing w:val="0"/>
          <w:sz w:val="30"/>
          <w:szCs w:val="30"/>
          <w:lang w:val="en-US" w:eastAsia="zh-CN"/>
        </w:rPr>
      </w:pPr>
      <w:r>
        <w:rPr>
          <w:rFonts w:hint="eastAsia" w:ascii="仿宋_GB2312" w:hAnsi="仿宋_GB2312" w:cs="仿宋_GB2312"/>
          <w:spacing w:val="0"/>
          <w:sz w:val="30"/>
          <w:szCs w:val="30"/>
          <w:lang w:val="en-US" w:eastAsia="zh-CN"/>
        </w:rPr>
        <w:t>本次科研生产外协采用分期付款，分期方式如下：</w:t>
      </w:r>
    </w:p>
    <w:p>
      <w:pPr>
        <w:pStyle w:val="10"/>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600" w:firstLineChars="200"/>
        <w:jc w:val="both"/>
        <w:textAlignment w:val="baseline"/>
        <w:rPr>
          <w:rFonts w:hint="eastAsia" w:ascii="仿宋_GB2312" w:hAnsi="仿宋_GB2312" w:cs="仿宋_GB2312"/>
          <w:spacing w:val="0"/>
          <w:sz w:val="30"/>
          <w:szCs w:val="30"/>
          <w:lang w:val="en-US" w:eastAsia="zh-CN"/>
        </w:rPr>
      </w:pPr>
      <w:r>
        <w:rPr>
          <w:rFonts w:hint="eastAsia" w:ascii="仿宋_GB2312" w:hAnsi="仿宋_GB2312" w:cs="仿宋_GB2312"/>
          <w:spacing w:val="0"/>
          <w:sz w:val="30"/>
          <w:szCs w:val="30"/>
          <w:lang w:val="en-US" w:eastAsia="zh-CN"/>
        </w:rPr>
        <w:t>1.合同签订后10个工作日内支付合同金额的50%；</w:t>
      </w:r>
    </w:p>
    <w:p>
      <w:pPr>
        <w:pStyle w:val="10"/>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600" w:firstLineChars="200"/>
        <w:jc w:val="both"/>
        <w:textAlignment w:val="baseline"/>
        <w:rPr>
          <w:rFonts w:hint="eastAsia" w:ascii="仿宋_GB2312" w:hAnsi="仿宋_GB2312" w:cs="仿宋_GB2312"/>
          <w:spacing w:val="0"/>
          <w:sz w:val="30"/>
          <w:szCs w:val="30"/>
          <w:lang w:val="en-US" w:eastAsia="zh-CN"/>
        </w:rPr>
      </w:pPr>
      <w:r>
        <w:rPr>
          <w:rFonts w:hint="eastAsia" w:ascii="仿宋_GB2312" w:hAnsi="仿宋_GB2312" w:cs="仿宋_GB2312"/>
          <w:spacing w:val="0"/>
          <w:sz w:val="30"/>
          <w:szCs w:val="30"/>
          <w:lang w:val="en-US" w:eastAsia="zh-CN"/>
        </w:rPr>
        <w:t>2.验收完成后10个工作日内支付合同金额的45%；</w:t>
      </w:r>
    </w:p>
    <w:p>
      <w:pPr>
        <w:pStyle w:val="10"/>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600" w:firstLineChars="200"/>
        <w:jc w:val="both"/>
        <w:textAlignment w:val="baseline"/>
        <w:rPr>
          <w:rFonts w:hint="eastAsia" w:ascii="仿宋_GB2312" w:hAnsi="仿宋_GB2312" w:cs="仿宋_GB2312"/>
          <w:spacing w:val="0"/>
          <w:sz w:val="30"/>
          <w:szCs w:val="30"/>
          <w:lang w:val="en-US" w:eastAsia="zh-CN"/>
        </w:rPr>
      </w:pPr>
      <w:r>
        <w:rPr>
          <w:rFonts w:hint="eastAsia" w:ascii="仿宋_GB2312" w:hAnsi="仿宋_GB2312" w:cs="仿宋_GB2312"/>
          <w:spacing w:val="0"/>
          <w:sz w:val="30"/>
          <w:szCs w:val="30"/>
          <w:lang w:val="en-US" w:eastAsia="zh-CN"/>
        </w:rPr>
        <w:t>3.质保时间截止后10个工作日内支付合同金额的5%。</w:t>
      </w:r>
    </w:p>
    <w:p>
      <w:pPr>
        <w:pStyle w:val="2"/>
        <w:keepNext w:val="0"/>
        <w:keepLines w:val="0"/>
        <w:pageBreakBefore w:val="0"/>
        <w:widowControl/>
        <w:kinsoku/>
        <w:wordWrap/>
        <w:overflowPunct/>
        <w:topLinePunct w:val="0"/>
        <w:autoSpaceDE/>
        <w:autoSpaceDN/>
        <w:bidi w:val="0"/>
        <w:adjustRightInd/>
        <w:snapToGrid/>
        <w:spacing w:before="0" w:after="0" w:line="560" w:lineRule="exact"/>
        <w:ind w:leftChars="0" w:firstLine="602" w:firstLineChars="200"/>
        <w:jc w:val="both"/>
        <w:textAlignment w:val="auto"/>
        <w:rPr>
          <w:rFonts w:hint="default" w:ascii="仿宋_GB2312" w:hAnsi="仿宋_GB2312" w:eastAsia="仿宋_GB2312" w:cs="仿宋_GB2312"/>
          <w:b/>
          <w:bCs w:val="0"/>
          <w:spacing w:val="0"/>
          <w:sz w:val="32"/>
          <w:szCs w:val="32"/>
          <w:lang w:val="en-US" w:eastAsia="zh-CN"/>
        </w:rPr>
      </w:pPr>
      <w:r>
        <w:rPr>
          <w:rFonts w:hint="eastAsia" w:ascii="仿宋_GB2312" w:hAnsi="仿宋_GB2312" w:eastAsia="仿宋_GB2312" w:cs="仿宋_GB2312"/>
          <w:b/>
          <w:bCs/>
          <w:sz w:val="30"/>
          <w:szCs w:val="30"/>
        </w:rPr>
        <w:t>★</w:t>
      </w:r>
      <w:r>
        <w:rPr>
          <w:rFonts w:hint="eastAsia" w:ascii="仿宋_GB2312" w:hAnsi="仿宋_GB2312" w:eastAsia="仿宋_GB2312" w:cs="仿宋_GB2312"/>
          <w:b/>
          <w:bCs w:val="0"/>
          <w:spacing w:val="0"/>
          <w:sz w:val="32"/>
          <w:szCs w:val="32"/>
          <w:lang w:val="en-US" w:eastAsia="zh-CN"/>
        </w:rPr>
        <w:t>三、质保期限</w:t>
      </w:r>
    </w:p>
    <w:p>
      <w:pPr>
        <w:pStyle w:val="3"/>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firstLine="600" w:firstLineChars="200"/>
        <w:textAlignment w:val="baseline"/>
        <w:rPr>
          <w:rFonts w:hint="default" w:ascii="仿宋_GB2312" w:hAnsi="仿宋_GB2312" w:eastAsia="仿宋_GB2312" w:cs="仿宋_GB2312"/>
          <w:snapToGrid w:val="0"/>
          <w:color w:val="000000"/>
          <w:spacing w:val="0"/>
          <w:kern w:val="0"/>
          <w:sz w:val="30"/>
          <w:szCs w:val="30"/>
          <w:lang w:val="en-US" w:eastAsia="zh-CN" w:bidi="ar-SA"/>
        </w:rPr>
      </w:pPr>
      <w:r>
        <w:rPr>
          <w:rFonts w:hint="eastAsia" w:ascii="仿宋_GB2312" w:hAnsi="仿宋_GB2312" w:eastAsia="仿宋_GB2312" w:cs="仿宋_GB2312"/>
          <w:snapToGrid w:val="0"/>
          <w:color w:val="000000"/>
          <w:spacing w:val="0"/>
          <w:kern w:val="0"/>
          <w:sz w:val="30"/>
          <w:szCs w:val="30"/>
          <w:lang w:val="en-US" w:eastAsia="zh-CN" w:bidi="ar-SA"/>
        </w:rPr>
        <w:t>验收完成后最低质保三年。在质保期内，乙方收到甲方通知后应在2小时内响应，并及时根据甲方反馈情况进行处理。乙方对有质保责任的产品或部件以合理的期限免费维修或更换有缺陷的产品或部件，被修理或更换的产品或部件从乙方至最终目的地的相关费用由乙方承担明。</w:t>
      </w:r>
    </w:p>
    <w:p>
      <w:pPr>
        <w:pStyle w:val="3"/>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firstLine="602" w:firstLineChars="200"/>
        <w:textAlignment w:val="baseline"/>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说明：1.本章科研生产外协项目技术、服务及其他商务要求中所有条款均为本次科研生产外协项目的实质性要求（另有说明条款除外），供应商应全部满足。</w:t>
      </w:r>
    </w:p>
    <w:p>
      <w:pPr>
        <w:pStyle w:val="3"/>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firstLine="602" w:firstLineChars="200"/>
        <w:textAlignment w:val="baseline"/>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2.本章中如涉及“甲方、用户、需方、我所”均泛指采购人，“乙方、供方、承研方”均泛指供应商。</w:t>
      </w:r>
    </w:p>
    <w:p>
      <w:pPr>
        <w:pStyle w:val="3"/>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firstLine="602" w:firstLineChars="200"/>
        <w:textAlignment w:val="baseline"/>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3.本科研生产外协文件如涉及到配置或材料的商标、品牌、生产厂家、产地等，仅起说明作用，其目的在于清楚明确地说明科研生产外协项目的技术标准和要求。供应商响应时可选择本章推荐的，也可选择相当于或优于推荐商标、品牌、生产厂家、产地、型号的配置或材料。</w:t>
      </w:r>
    </w:p>
    <w:p>
      <w:r>
        <w:rPr>
          <w:rFonts w:hint="eastAsia" w:ascii="仿宋_GB2312" w:hAnsi="仿宋_GB2312" w:eastAsia="仿宋_GB2312" w:cs="仿宋_GB2312"/>
          <w:b/>
          <w:bCs/>
          <w:sz w:val="30"/>
          <w:szCs w:val="30"/>
          <w:lang w:val="en-US" w:eastAsia="zh-CN"/>
        </w:rPr>
        <w:t>4.供应商请勿在其响应文件中提供涉密资料，由此带来的后果自负。</w:t>
      </w:r>
      <w:bookmarkStart w:id="1" w:name="_GoBack"/>
      <w:bookmarkEnd w:id="1"/>
    </w:p>
    <w:sectPr>
      <w:headerReference r:id="rId3" w:type="default"/>
      <w:footerReference r:id="rId4"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455"/>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pprv7xQCAAAVBAAADgAAAAAAAAAB&#10;ACAAAAAfAQAAZHJzL2Uyb0RvYy54bWxQSwUGAAAAAAYABgBZAQAAp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210CF4"/>
    <w:multiLevelType w:val="singleLevel"/>
    <w:tmpl w:val="DE210CF4"/>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9707B4"/>
    <w:rsid w:val="17AB01EA"/>
    <w:rsid w:val="42920146"/>
    <w:rsid w:val="45970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both"/>
      <w:textAlignment w:val="baseline"/>
    </w:pPr>
    <w:rPr>
      <w:rFonts w:ascii="Arial" w:hAnsi="Arial" w:eastAsia="仿宋_GB2312" w:cs="Arial"/>
      <w:snapToGrid w:val="0"/>
      <w:color w:val="000000"/>
      <w:kern w:val="0"/>
      <w:sz w:val="32"/>
      <w:szCs w:val="21"/>
      <w:lang w:val="en-US" w:eastAsia="en-US" w:bidi="ar-SA"/>
    </w:rPr>
  </w:style>
  <w:style w:type="paragraph" w:styleId="2">
    <w:name w:val="heading 4"/>
    <w:basedOn w:val="1"/>
    <w:next w:val="1"/>
    <w:unhideWhenUsed/>
    <w:qFormat/>
    <w:uiPriority w:val="0"/>
    <w:pPr>
      <w:keepNext/>
      <w:keepLines/>
      <w:spacing w:before="40" w:beforeLines="0" w:beforeAutospacing="0" w:after="50" w:afterLines="0" w:afterAutospacing="0" w:line="240" w:lineRule="auto"/>
      <w:ind w:leftChars="200"/>
      <w:jc w:val="both"/>
      <w:outlineLvl w:val="3"/>
    </w:pPr>
    <w:rPr>
      <w:rFonts w:eastAsia="黑体"/>
      <w:b/>
      <w:sz w:val="28"/>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1"/>
    <w:qFormat/>
    <w:uiPriority w:val="10"/>
    <w:pPr>
      <w:spacing w:before="240" w:after="60"/>
      <w:jc w:val="center"/>
      <w:outlineLvl w:val="0"/>
    </w:pPr>
    <w:rPr>
      <w:rFonts w:ascii="Cambria" w:hAnsi="Cambria"/>
      <w:b/>
      <w:bCs/>
      <w:szCs w:val="32"/>
    </w:rPr>
  </w:style>
  <w:style w:type="paragraph" w:customStyle="1" w:styleId="9">
    <w:name w:val="图表内容"/>
    <w:basedOn w:val="1"/>
    <w:qFormat/>
    <w:uiPriority w:val="0"/>
    <w:pPr>
      <w:snapToGrid w:val="0"/>
      <w:spacing w:before="120" w:after="120"/>
      <w:jc w:val="center"/>
    </w:pPr>
    <w:rPr>
      <w:rFonts w:ascii="宋体" w:hAnsi="Times New Roman" w:eastAsia="宋体" w:cs="Times New Roman"/>
      <w:sz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2025-04-22T03:11:00Z</dcterms:created>
  <dc:creator>周科礼</dc:creator>
  <cp:lastModifiedBy>周科礼</cp:lastModifiedBy>
  <dcterms:modified xsi:type="dcterms:W3CDTF">2025-04-23T03:53:47Z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FD5DBEE153D445D881419415BE8F0201</vt:lpwstr>
  </property>
</Properties>
</file>