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numPr>
          <w:numId w:val="0"/>
        </w:numPr>
        <w:kinsoku/>
        <w:autoSpaceDE/>
        <w:autoSpaceDN/>
        <w:bidi w:val="0"/>
        <w:adjustRightInd/>
        <w:snapToGrid/>
        <w:jc w:val="center"/>
        <w:textAlignment w:val="auto"/>
        <w:outlineLvl w:val="0"/>
        <w:rPr>
          <w:rFonts w:hint="eastAsia" w:ascii="仿宋_GB2312" w:hAnsi="仿宋_GB2312" w:cs="仿宋_GB2312"/>
          <w:snapToGrid/>
          <w:color w:val="auto"/>
          <w:kern w:val="2"/>
          <w:sz w:val="44"/>
          <w:szCs w:val="44"/>
          <w:highlight w:val="none"/>
          <w:lang w:val="en-US" w:eastAsia="zh-CN"/>
        </w:rPr>
      </w:pPr>
      <w:bookmarkStart w:id="0" w:name="_Toc24925"/>
      <w:r>
        <w:rPr>
          <w:rFonts w:hint="eastAsia" w:ascii="仿宋_GB2312" w:hAnsi="仿宋_GB2312" w:cs="仿宋_GB2312"/>
          <w:snapToGrid/>
          <w:color w:val="auto"/>
          <w:kern w:val="2"/>
          <w:sz w:val="44"/>
          <w:szCs w:val="44"/>
          <w:highlight w:val="none"/>
          <w:lang w:val="en-US" w:eastAsia="zh-CN"/>
        </w:rPr>
        <w:t>前端收光及光路转折组件结构件加工项目</w:t>
      </w:r>
    </w:p>
    <w:p>
      <w:pPr>
        <w:pStyle w:val="7"/>
        <w:widowControl w:val="0"/>
        <w:numPr>
          <w:numId w:val="0"/>
        </w:numPr>
        <w:kinsoku/>
        <w:autoSpaceDE/>
        <w:autoSpaceDN/>
        <w:bidi w:val="0"/>
        <w:adjustRightInd/>
        <w:snapToGrid/>
        <w:jc w:val="center"/>
        <w:textAlignment w:val="auto"/>
        <w:outlineLvl w:val="0"/>
        <w:rPr>
          <w:rFonts w:hint="eastAsia" w:ascii="仿宋_GB2312" w:hAnsi="仿宋_GB2312" w:cs="仿宋_GB2312"/>
          <w:snapToGrid/>
          <w:color w:val="auto"/>
          <w:kern w:val="2"/>
          <w:sz w:val="44"/>
          <w:szCs w:val="44"/>
          <w:highlight w:val="none"/>
          <w:lang w:eastAsia="zh-CN"/>
        </w:rPr>
      </w:pPr>
      <w:bookmarkStart w:id="1" w:name="_GoBack"/>
      <w:r>
        <w:rPr>
          <w:rFonts w:hint="eastAsia" w:ascii="仿宋_GB2312" w:hAnsi="仿宋_GB2312" w:cs="仿宋_GB2312"/>
          <w:snapToGrid/>
          <w:color w:val="auto"/>
          <w:kern w:val="2"/>
          <w:sz w:val="44"/>
          <w:szCs w:val="44"/>
          <w:highlight w:val="none"/>
          <w:lang w:eastAsia="zh-CN"/>
        </w:rPr>
        <w:t xml:space="preserve"> </w:t>
      </w:r>
      <w:r>
        <w:rPr>
          <w:rFonts w:hint="eastAsia" w:ascii="仿宋_GB2312" w:hAnsi="仿宋_GB2312" w:cs="仿宋_GB2312"/>
          <w:snapToGrid/>
          <w:color w:val="auto"/>
          <w:kern w:val="2"/>
          <w:sz w:val="44"/>
          <w:szCs w:val="44"/>
          <w:highlight w:val="none"/>
          <w:lang w:val="en-US" w:eastAsia="zh-CN"/>
        </w:rPr>
        <w:t>科研生产外协</w:t>
      </w:r>
      <w:r>
        <w:rPr>
          <w:rFonts w:hint="eastAsia" w:ascii="仿宋_GB2312" w:hAnsi="仿宋_GB2312" w:cs="仿宋_GB2312"/>
          <w:snapToGrid/>
          <w:color w:val="auto"/>
          <w:kern w:val="2"/>
          <w:sz w:val="44"/>
          <w:szCs w:val="44"/>
          <w:highlight w:val="none"/>
          <w:lang w:eastAsia="zh-CN"/>
        </w:rPr>
        <w:t>项目技术、服务及其他商务要求</w:t>
      </w:r>
      <w:bookmarkEnd w:id="0"/>
    </w:p>
    <w:bookmarkEnd w:id="1"/>
    <w:p>
      <w:pPr>
        <w:spacing w:line="560" w:lineRule="exact"/>
        <w:ind w:firstLine="602" w:firstLineChars="200"/>
        <w:rPr>
          <w:rFonts w:hint="eastAsia" w:ascii="仿宋_GB2312" w:hAnsi="仿宋_GB2312" w:eastAsia="仿宋_GB2312" w:cs="仿宋_GB2312"/>
          <w:b/>
          <w:bCs/>
          <w:sz w:val="30"/>
          <w:szCs w:val="30"/>
          <w:highlight w:val="none"/>
          <w:lang w:eastAsia="zh-CN"/>
        </w:rPr>
      </w:pPr>
      <w:r>
        <w:rPr>
          <w:rFonts w:hint="eastAsia" w:ascii="仿宋_GB2312" w:hAnsi="仿宋_GB2312" w:eastAsia="仿宋_GB2312" w:cs="仿宋_GB2312"/>
          <w:b/>
          <w:bCs/>
          <w:sz w:val="30"/>
          <w:szCs w:val="30"/>
          <w:highlight w:val="none"/>
        </w:rPr>
        <w:t>特别注意：采购文件标注“★”号或“实质性要求”的为</w:t>
      </w:r>
      <w:r>
        <w:rPr>
          <w:rFonts w:hint="eastAsia" w:ascii="仿宋_GB2312" w:hAnsi="仿宋_GB2312" w:cs="仿宋_GB2312"/>
          <w:b/>
          <w:bCs/>
          <w:sz w:val="30"/>
          <w:szCs w:val="30"/>
          <w:highlight w:val="none"/>
          <w:lang w:val="en-US" w:eastAsia="zh-CN"/>
        </w:rPr>
        <w:t>实质性</w:t>
      </w:r>
      <w:r>
        <w:rPr>
          <w:rFonts w:hint="eastAsia" w:ascii="仿宋_GB2312" w:hAnsi="仿宋_GB2312" w:eastAsia="仿宋_GB2312" w:cs="仿宋_GB2312"/>
          <w:b/>
          <w:bCs/>
          <w:sz w:val="30"/>
          <w:szCs w:val="30"/>
          <w:highlight w:val="none"/>
        </w:rPr>
        <w:t>条款（含重要的商务和技术条款），文件对这些重要条款的任何负偏离、不响应都将导致 其响应文件作无效处理。</w:t>
      </w:r>
    </w:p>
    <w:p>
      <w:pPr>
        <w:pStyle w:val="2"/>
        <w:keepNext w:val="0"/>
        <w:keepLines w:val="0"/>
        <w:pageBreakBefore w:val="0"/>
        <w:widowControl/>
        <w:kinsoku/>
        <w:wordWrap/>
        <w:overflowPunct/>
        <w:topLinePunct w:val="0"/>
        <w:autoSpaceDE/>
        <w:autoSpaceDN/>
        <w:bidi w:val="0"/>
        <w:adjustRightInd/>
        <w:snapToGrid/>
        <w:spacing w:before="0" w:after="0" w:line="560" w:lineRule="exact"/>
        <w:ind w:leftChars="0" w:firstLine="643" w:firstLineChars="200"/>
        <w:jc w:val="both"/>
        <w:textAlignment w:val="auto"/>
        <w:rPr>
          <w:rFonts w:hint="eastAsia"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val="0"/>
          <w:spacing w:val="0"/>
          <w:sz w:val="32"/>
          <w:szCs w:val="32"/>
          <w:lang w:val="en-US" w:eastAsia="zh-CN"/>
        </w:rPr>
        <w:t>一、科研外协技术内容、技术要求与外协周期</w:t>
      </w:r>
      <w:r>
        <w:rPr>
          <w:rFonts w:hint="eastAsia" w:ascii="仿宋_GB2312" w:hAnsi="仿宋_GB2312" w:eastAsia="仿宋_GB2312" w:cs="仿宋_GB2312"/>
          <w:b/>
          <w:bCs/>
          <w:sz w:val="30"/>
          <w:szCs w:val="3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eastAsia="仿宋_GB2312" w:cs="仿宋_GB2312"/>
          <w:spacing w:val="-2"/>
          <w:sz w:val="30"/>
          <w:szCs w:val="30"/>
          <w:lang w:val="en-US" w:eastAsia="zh-CN"/>
        </w:rPr>
      </w:pPr>
      <w:r>
        <w:rPr>
          <w:rFonts w:hint="eastAsia" w:ascii="仿宋_GB2312" w:hAnsi="仿宋_GB2312" w:eastAsia="仿宋_GB2312" w:cs="仿宋_GB2312"/>
          <w:spacing w:val="-2"/>
          <w:sz w:val="30"/>
          <w:szCs w:val="30"/>
          <w:lang w:val="en-US" w:eastAsia="zh-CN"/>
        </w:rPr>
        <w:t>1.外协内容</w:t>
      </w:r>
      <w:r>
        <w:rPr>
          <w:rFonts w:hint="eastAsia" w:ascii="仿宋_GB2312" w:hAnsi="仿宋_GB2312" w:cs="仿宋_GB2312"/>
          <w:spacing w:val="-2"/>
          <w:sz w:val="30"/>
          <w:szCs w:val="30"/>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（1）供应商需按照采购人的技术要求和图纸要求完成结构件的加工、表面处理，其机械性能参数需符合图纸技术要求。</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（2）按照桁架设计要求，完成铝型材桁架制造与组装。</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（3）配合采购人完成必要的方案修改和调整。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Lines="0" w:afterLines="0" w:line="560" w:lineRule="exact"/>
        <w:ind w:leftChars="0" w:right="0" w:rightChars="0" w:firstLine="592" w:firstLineChars="200"/>
        <w:jc w:val="both"/>
        <w:textAlignment w:val="baseline"/>
        <w:rPr>
          <w:rFonts w:hint="eastAsia" w:ascii="仿宋_GB2312" w:hAnsi="仿宋_GB2312" w:eastAsia="仿宋_GB2312" w:cs="仿宋_GB2312"/>
          <w:spacing w:val="-2"/>
          <w:sz w:val="30"/>
          <w:szCs w:val="30"/>
          <w:lang w:val="en-US" w:eastAsia="zh-CN"/>
        </w:rPr>
      </w:pPr>
      <w:r>
        <w:rPr>
          <w:rFonts w:hint="eastAsia" w:ascii="仿宋_GB2312" w:hAnsi="仿宋_GB2312" w:cs="仿宋_GB2312"/>
          <w:spacing w:val="-2"/>
          <w:sz w:val="30"/>
          <w:szCs w:val="30"/>
          <w:lang w:val="en-US" w:eastAsia="zh-CN"/>
        </w:rPr>
        <w:t>2.</w:t>
      </w:r>
      <w:r>
        <w:rPr>
          <w:rFonts w:hint="eastAsia" w:ascii="仿宋_GB2312" w:hAnsi="仿宋_GB2312" w:eastAsia="仿宋_GB2312" w:cs="仿宋_GB2312"/>
          <w:spacing w:val="-2"/>
          <w:sz w:val="30"/>
          <w:szCs w:val="30"/>
          <w:lang w:val="en-US" w:eastAsia="zh-CN"/>
        </w:rPr>
        <w:t>技术要求：</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1）材料：按照图纸要求使用材料，用于产品制造、配套的全部原材料按设计图样要求实施，供应商应执行材料输入质量控制，禁止使用无生产厂家提供标识和性能参数的材料。入库验收时，供应商须核验质量证明书、牌号、外观状态和尺寸，相关资料存档。</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（2）制造：尺寸和形位要求。结构件尺寸加工按图纸要求的尺寸执行，遮光筒未注尺寸公差按GB/T1804-f级执行，未注形位公差按GB1184-H级执行，其余可按GB/T1804-m级和GB1184-K级执行。</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（3）尺寸稳定性。供应商在加工、热处理、表面处理、装配及转移运输过程中，需要采取措施防止零部件产生变形影响零件精度。</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（4）供应商严格按照图样要求加工，需要更改图样内容或者超出图样要求的须与采购人协商确认并做好记录。</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（5）配作、配研零件须在非工作表面设置明显配对标识，标识在生产、运输和交付时不得脱落和辨识不清。</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default" w:ascii="仿宋_GB2312" w:hAnsi="仿宋_GB2312" w:eastAsia="仿宋_GB2312" w:cs="仿宋_GB2312"/>
          <w:spacing w:val="-2"/>
          <w:sz w:val="30"/>
          <w:szCs w:val="30"/>
          <w:lang w:val="en-US" w:eastAsia="zh-CN"/>
        </w:rPr>
      </w:pPr>
      <w:r>
        <w:rPr>
          <w:rFonts w:hint="eastAsia" w:ascii="仿宋_GB2312" w:hAnsi="仿宋_GB2312" w:cs="仿宋_GB2312"/>
          <w:spacing w:val="-2"/>
          <w:sz w:val="30"/>
          <w:szCs w:val="30"/>
          <w:lang w:val="en-US" w:eastAsia="zh-CN"/>
        </w:rPr>
        <w:t>3</w:t>
      </w:r>
      <w:r>
        <w:rPr>
          <w:rFonts w:hint="eastAsia" w:ascii="仿宋_GB2312" w:hAnsi="仿宋_GB2312" w:eastAsia="仿宋_GB2312" w:cs="仿宋_GB2312"/>
          <w:spacing w:val="-2"/>
          <w:sz w:val="30"/>
          <w:szCs w:val="30"/>
          <w:lang w:val="en-US" w:eastAsia="zh-CN"/>
        </w:rPr>
        <w:t>.外协周期：</w:t>
      </w:r>
      <w:r>
        <w:rPr>
          <w:rFonts w:hint="eastAsia" w:ascii="仿宋_GB2312" w:hAnsi="仿宋_GB2312" w:cs="仿宋_GB2312"/>
          <w:spacing w:val="-2"/>
          <w:sz w:val="30"/>
          <w:szCs w:val="30"/>
          <w:lang w:val="en-US" w:eastAsia="zh-CN"/>
        </w:rPr>
        <w:t>25个自然日。</w:t>
      </w:r>
    </w:p>
    <w:p>
      <w:pPr>
        <w:spacing w:line="560" w:lineRule="exact"/>
        <w:ind w:firstLine="592" w:firstLineChars="200"/>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4</w:t>
      </w:r>
      <w:r>
        <w:rPr>
          <w:rFonts w:hint="eastAsia" w:ascii="仿宋_GB2312" w:hAnsi="仿宋_GB2312" w:eastAsia="仿宋_GB2312" w:cs="仿宋_GB2312"/>
          <w:spacing w:val="-2"/>
          <w:sz w:val="30"/>
          <w:szCs w:val="30"/>
          <w:lang w:val="en-US" w:eastAsia="zh-CN"/>
        </w:rPr>
        <w:t>.</w:t>
      </w:r>
      <w:r>
        <w:rPr>
          <w:rFonts w:hint="eastAsia" w:ascii="仿宋_GB2312" w:hAnsi="仿宋_GB2312" w:cs="仿宋_GB2312"/>
          <w:spacing w:val="-2"/>
          <w:sz w:val="30"/>
          <w:szCs w:val="30"/>
          <w:lang w:val="en-US" w:eastAsia="zh-CN"/>
        </w:rPr>
        <w:t>成果交付:交付内容包括结构件实物，指标测试报告等，具体交付内容如下：</w:t>
      </w:r>
    </w:p>
    <w:p>
      <w:pPr>
        <w:spacing w:line="560" w:lineRule="exact"/>
        <w:ind w:firstLine="560" w:firstLineChars="200"/>
        <w:jc w:val="center"/>
        <w:rPr>
          <w:rFonts w:hint="eastAsia" w:ascii="仿宋_GB2312" w:hAnsi="仿宋_GB2312" w:cs="仿宋_GB2312"/>
          <w:spacing w:val="-2"/>
          <w:sz w:val="30"/>
          <w:szCs w:val="30"/>
          <w:lang w:val="en-US" w:eastAsia="zh-CN"/>
        </w:rPr>
      </w:pPr>
      <w:r>
        <w:rPr>
          <w:rFonts w:hint="eastAsia" w:ascii="黑体" w:hAnsi="黑体" w:eastAsia="黑体" w:cs="黑体"/>
          <w:sz w:val="28"/>
          <w:szCs w:val="28"/>
        </w:rPr>
        <w:t xml:space="preserve">表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SEQ 表 \* ARABIC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b w:val="0"/>
          <w:bCs w:val="0"/>
          <w:sz w:val="28"/>
          <w:szCs w:val="28"/>
        </w:rPr>
        <w:t>交付物清单</w:t>
      </w:r>
    </w:p>
    <w:tbl>
      <w:tblPr>
        <w:tblStyle w:val="8"/>
        <w:tblW w:w="73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710"/>
        <w:gridCol w:w="2246"/>
        <w:gridCol w:w="953"/>
        <w:gridCol w:w="1021"/>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trHeight w:val="197" w:hRule="atLeast"/>
          <w:jc w:val="center"/>
        </w:trPr>
        <w:tc>
          <w:tcPr>
            <w:tcW w:w="710" w:type="dxa"/>
            <w:tcBorders>
              <w:top w:val="single" w:color="auto" w:sz="12" w:space="0"/>
              <w:left w:val="single" w:color="auto" w:sz="12" w:space="0"/>
              <w:bottom w:val="single" w:color="auto" w:sz="12" w:space="0"/>
            </w:tcBorders>
            <w:tcMar>
              <w:top w:w="60" w:type="dxa"/>
              <w:left w:w="60" w:type="dxa"/>
              <w:bottom w:w="60" w:type="dxa"/>
              <w:right w:w="60" w:type="dxa"/>
            </w:tcMar>
            <w:vAlign w:val="center"/>
          </w:tcPr>
          <w:p>
            <w:pPr>
              <w:pStyle w:val="10"/>
              <w:spacing w:before="0" w:after="0"/>
              <w:rPr>
                <w:b/>
                <w:bCs/>
                <w:sz w:val="21"/>
                <w:szCs w:val="21"/>
              </w:rPr>
            </w:pPr>
            <w:r>
              <w:rPr>
                <w:rFonts w:hint="eastAsia"/>
                <w:b/>
                <w:bCs/>
                <w:sz w:val="21"/>
                <w:szCs w:val="21"/>
              </w:rPr>
              <w:t>序号</w:t>
            </w:r>
          </w:p>
        </w:tc>
        <w:tc>
          <w:tcPr>
            <w:tcW w:w="2246" w:type="dxa"/>
            <w:tcBorders>
              <w:top w:val="single" w:color="auto" w:sz="12" w:space="0"/>
              <w:bottom w:val="single" w:color="auto" w:sz="12" w:space="0"/>
            </w:tcBorders>
            <w:vAlign w:val="center"/>
          </w:tcPr>
          <w:p>
            <w:pPr>
              <w:pStyle w:val="10"/>
              <w:spacing w:before="0" w:after="0"/>
              <w:rPr>
                <w:b/>
                <w:bCs/>
                <w:sz w:val="21"/>
                <w:szCs w:val="21"/>
              </w:rPr>
            </w:pPr>
            <w:r>
              <w:rPr>
                <w:rFonts w:hint="eastAsia"/>
                <w:b/>
                <w:bCs/>
                <w:sz w:val="21"/>
                <w:szCs w:val="21"/>
              </w:rPr>
              <w:t>类型</w:t>
            </w:r>
          </w:p>
        </w:tc>
        <w:tc>
          <w:tcPr>
            <w:tcW w:w="953" w:type="dxa"/>
            <w:tcBorders>
              <w:top w:val="single" w:color="auto" w:sz="12" w:space="0"/>
              <w:bottom w:val="single" w:color="auto" w:sz="12" w:space="0"/>
            </w:tcBorders>
            <w:tcMar>
              <w:top w:w="60" w:type="dxa"/>
              <w:left w:w="60" w:type="dxa"/>
              <w:bottom w:w="60" w:type="dxa"/>
              <w:right w:w="60" w:type="dxa"/>
            </w:tcMar>
            <w:vAlign w:val="center"/>
          </w:tcPr>
          <w:p>
            <w:pPr>
              <w:pStyle w:val="10"/>
              <w:spacing w:before="0" w:after="0"/>
              <w:rPr>
                <w:b/>
                <w:bCs/>
                <w:sz w:val="21"/>
                <w:szCs w:val="21"/>
              </w:rPr>
            </w:pPr>
            <w:r>
              <w:rPr>
                <w:rFonts w:hint="eastAsia"/>
                <w:b/>
                <w:bCs/>
                <w:sz w:val="21"/>
                <w:szCs w:val="21"/>
              </w:rPr>
              <w:t>数量</w:t>
            </w:r>
          </w:p>
        </w:tc>
        <w:tc>
          <w:tcPr>
            <w:tcW w:w="1021" w:type="dxa"/>
            <w:tcBorders>
              <w:top w:val="single" w:color="auto" w:sz="12" w:space="0"/>
              <w:bottom w:val="single" w:color="auto" w:sz="12" w:space="0"/>
            </w:tcBorders>
          </w:tcPr>
          <w:p>
            <w:pPr>
              <w:pStyle w:val="10"/>
              <w:spacing w:before="0" w:after="0"/>
              <w:rPr>
                <w:b/>
                <w:bCs/>
                <w:sz w:val="21"/>
                <w:szCs w:val="21"/>
              </w:rPr>
            </w:pPr>
            <w:r>
              <w:rPr>
                <w:rFonts w:hint="eastAsia"/>
                <w:b/>
                <w:bCs/>
                <w:sz w:val="21"/>
                <w:szCs w:val="21"/>
              </w:rPr>
              <w:t>单位</w:t>
            </w:r>
          </w:p>
        </w:tc>
        <w:tc>
          <w:tcPr>
            <w:tcW w:w="2388" w:type="dxa"/>
            <w:tcBorders>
              <w:top w:val="single" w:color="auto" w:sz="12" w:space="0"/>
              <w:bottom w:val="single" w:color="auto" w:sz="12" w:space="0"/>
              <w:right w:val="single" w:color="auto" w:sz="12" w:space="0"/>
            </w:tcBorders>
            <w:tcMar>
              <w:top w:w="60" w:type="dxa"/>
              <w:left w:w="60" w:type="dxa"/>
              <w:bottom w:w="60" w:type="dxa"/>
              <w:right w:w="60" w:type="dxa"/>
            </w:tcMar>
            <w:vAlign w:val="center"/>
          </w:tcPr>
          <w:p>
            <w:pPr>
              <w:pStyle w:val="10"/>
              <w:spacing w:before="0" w:after="0"/>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710" w:type="dxa"/>
            <w:tcBorders>
              <w:top w:val="single" w:color="auto" w:sz="12" w:space="0"/>
              <w:left w:val="single" w:color="auto" w:sz="12" w:space="0"/>
            </w:tcBorders>
            <w:tcMar>
              <w:top w:w="60" w:type="dxa"/>
              <w:left w:w="60" w:type="dxa"/>
              <w:bottom w:w="60" w:type="dxa"/>
              <w:right w:w="60" w:type="dxa"/>
            </w:tcMar>
          </w:tcPr>
          <w:p>
            <w:pPr>
              <w:pStyle w:val="10"/>
              <w:spacing w:before="0" w:after="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2246" w:type="dxa"/>
            <w:tcBorders>
              <w:top w:val="single" w:color="auto" w:sz="12" w:space="0"/>
            </w:tcBorders>
          </w:tcPr>
          <w:p>
            <w:pPr>
              <w:keepNext w:val="0"/>
              <w:keepLines w:val="0"/>
              <w:widowControl/>
              <w:suppressLineNumbers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钨鼻锥模块</w:t>
            </w:r>
          </w:p>
        </w:tc>
        <w:tc>
          <w:tcPr>
            <w:tcW w:w="953" w:type="dxa"/>
            <w:tcBorders>
              <w:top w:val="single" w:color="auto" w:sz="12" w:space="0"/>
            </w:tcBorders>
            <w:tcMar>
              <w:top w:w="60" w:type="dxa"/>
              <w:left w:w="60" w:type="dxa"/>
              <w:bottom w:w="60" w:type="dxa"/>
              <w:right w:w="60" w:type="dxa"/>
            </w:tcMar>
          </w:tcPr>
          <w:p>
            <w:pPr>
              <w:pStyle w:val="10"/>
              <w:spacing w:before="0" w:after="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1021" w:type="dxa"/>
            <w:tcBorders>
              <w:top w:val="single" w:color="auto" w:sz="12" w:space="0"/>
            </w:tcBorders>
          </w:tcPr>
          <w:p>
            <w:pPr>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套</w:t>
            </w:r>
          </w:p>
        </w:tc>
        <w:tc>
          <w:tcPr>
            <w:tcW w:w="2388" w:type="dxa"/>
            <w:tcBorders>
              <w:top w:val="single" w:color="auto" w:sz="12" w:space="0"/>
              <w:right w:val="single" w:color="auto" w:sz="12" w:space="0"/>
            </w:tcBorders>
            <w:tcMar>
              <w:top w:w="60" w:type="dxa"/>
              <w:left w:w="60" w:type="dxa"/>
              <w:bottom w:w="60" w:type="dxa"/>
              <w:right w:w="60" w:type="dxa"/>
            </w:tcMar>
            <w:vAlign w:val="center"/>
          </w:tcPr>
          <w:p>
            <w:pPr>
              <w:pStyle w:val="10"/>
              <w:spacing w:before="0" w:after="0"/>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710" w:type="dxa"/>
            <w:tcBorders>
              <w:left w:val="single" w:color="auto" w:sz="12" w:space="0"/>
            </w:tcBorders>
            <w:tcMar>
              <w:top w:w="60" w:type="dxa"/>
              <w:left w:w="60" w:type="dxa"/>
              <w:bottom w:w="60" w:type="dxa"/>
              <w:right w:w="60" w:type="dxa"/>
            </w:tcMar>
          </w:tcPr>
          <w:p>
            <w:pPr>
              <w:pStyle w:val="10"/>
              <w:spacing w:before="0" w:after="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2246" w:type="dxa"/>
          </w:tcPr>
          <w:p>
            <w:pPr>
              <w:keepNext w:val="0"/>
              <w:keepLines w:val="0"/>
              <w:widowControl/>
              <w:suppressLineNumbers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瞄准节部分</w:t>
            </w:r>
          </w:p>
        </w:tc>
        <w:tc>
          <w:tcPr>
            <w:tcW w:w="953" w:type="dxa"/>
            <w:tcMar>
              <w:top w:w="60" w:type="dxa"/>
              <w:left w:w="60" w:type="dxa"/>
              <w:bottom w:w="60" w:type="dxa"/>
              <w:right w:w="60" w:type="dxa"/>
            </w:tcMar>
          </w:tcPr>
          <w:p>
            <w:pPr>
              <w:pStyle w:val="10"/>
              <w:spacing w:before="0" w:after="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1021" w:type="dxa"/>
          </w:tcPr>
          <w:p>
            <w:pPr>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套</w:t>
            </w:r>
          </w:p>
        </w:tc>
        <w:tc>
          <w:tcPr>
            <w:tcW w:w="2388" w:type="dxa"/>
            <w:tcBorders>
              <w:right w:val="single" w:color="auto" w:sz="12" w:space="0"/>
            </w:tcBorders>
            <w:tcMar>
              <w:top w:w="60" w:type="dxa"/>
              <w:left w:w="60" w:type="dxa"/>
              <w:bottom w:w="60" w:type="dxa"/>
              <w:right w:w="60" w:type="dxa"/>
            </w:tcMar>
            <w:vAlign w:val="center"/>
          </w:tcPr>
          <w:p>
            <w:pPr>
              <w:pStyle w:val="10"/>
              <w:spacing w:before="0" w:after="0"/>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710" w:type="dxa"/>
            <w:tcBorders>
              <w:left w:val="single" w:color="auto" w:sz="12" w:space="0"/>
            </w:tcBorders>
            <w:tcMar>
              <w:top w:w="60" w:type="dxa"/>
              <w:left w:w="60" w:type="dxa"/>
              <w:bottom w:w="60" w:type="dxa"/>
              <w:right w:w="60" w:type="dxa"/>
            </w:tcMar>
          </w:tcPr>
          <w:p>
            <w:pPr>
              <w:pStyle w:val="10"/>
              <w:spacing w:before="0" w:after="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2246" w:type="dxa"/>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DIM内结构件</w:t>
            </w:r>
          </w:p>
        </w:tc>
        <w:tc>
          <w:tcPr>
            <w:tcW w:w="953" w:type="dxa"/>
            <w:tcMar>
              <w:top w:w="60" w:type="dxa"/>
              <w:left w:w="60" w:type="dxa"/>
              <w:bottom w:w="60" w:type="dxa"/>
              <w:right w:w="60" w:type="dxa"/>
            </w:tcMar>
          </w:tcPr>
          <w:p>
            <w:pPr>
              <w:pStyle w:val="10"/>
              <w:spacing w:before="0" w:after="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1021" w:type="dxa"/>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套</w:t>
            </w:r>
          </w:p>
        </w:tc>
        <w:tc>
          <w:tcPr>
            <w:tcW w:w="2388" w:type="dxa"/>
            <w:tcBorders>
              <w:right w:val="single" w:color="auto" w:sz="12" w:space="0"/>
            </w:tcBorders>
            <w:tcMar>
              <w:top w:w="60" w:type="dxa"/>
              <w:left w:w="60" w:type="dxa"/>
              <w:bottom w:w="60" w:type="dxa"/>
              <w:right w:w="60" w:type="dxa"/>
            </w:tcMar>
            <w:vAlign w:val="center"/>
          </w:tcPr>
          <w:p>
            <w:pPr>
              <w:pStyle w:val="10"/>
              <w:spacing w:before="0" w:after="0"/>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710" w:type="dxa"/>
            <w:tcBorders>
              <w:left w:val="single" w:color="auto" w:sz="12" w:space="0"/>
            </w:tcBorders>
            <w:shd w:val="clear" w:color="auto" w:fill="auto"/>
            <w:tcMar>
              <w:top w:w="60" w:type="dxa"/>
              <w:left w:w="60" w:type="dxa"/>
              <w:bottom w:w="60" w:type="dxa"/>
              <w:right w:w="60" w:type="dxa"/>
            </w:tcMar>
            <w:vAlign w:val="top"/>
          </w:tcPr>
          <w:p>
            <w:pPr>
              <w:pStyle w:val="10"/>
              <w:spacing w:before="0" w:after="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c>
          <w:tcPr>
            <w:tcW w:w="2246" w:type="dxa"/>
            <w:shd w:val="clear" w:color="auto" w:fill="auto"/>
            <w:vAlign w:val="top"/>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DIM外结构件</w:t>
            </w:r>
          </w:p>
        </w:tc>
        <w:tc>
          <w:tcPr>
            <w:tcW w:w="953" w:type="dxa"/>
            <w:shd w:val="clear" w:color="auto" w:fill="auto"/>
            <w:tcMar>
              <w:top w:w="60" w:type="dxa"/>
              <w:left w:w="60" w:type="dxa"/>
              <w:bottom w:w="60" w:type="dxa"/>
              <w:right w:w="60" w:type="dxa"/>
            </w:tcMar>
            <w:vAlign w:val="top"/>
          </w:tcPr>
          <w:p>
            <w:pPr>
              <w:pStyle w:val="10"/>
              <w:spacing w:before="0" w:after="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1021" w:type="dxa"/>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套</w:t>
            </w:r>
          </w:p>
        </w:tc>
        <w:tc>
          <w:tcPr>
            <w:tcW w:w="2388" w:type="dxa"/>
            <w:tcBorders>
              <w:right w:val="single" w:color="auto" w:sz="12" w:space="0"/>
            </w:tcBorders>
            <w:tcMar>
              <w:top w:w="60" w:type="dxa"/>
              <w:left w:w="60" w:type="dxa"/>
              <w:bottom w:w="60" w:type="dxa"/>
              <w:right w:w="60" w:type="dxa"/>
            </w:tcMar>
            <w:vAlign w:val="center"/>
          </w:tcPr>
          <w:p>
            <w:pPr>
              <w:pStyle w:val="10"/>
              <w:spacing w:before="0" w:after="0"/>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710" w:type="dxa"/>
            <w:tcBorders>
              <w:left w:val="single" w:color="auto" w:sz="12" w:space="0"/>
              <w:bottom w:val="single" w:color="auto" w:sz="12" w:space="0"/>
            </w:tcBorders>
            <w:tcMar>
              <w:top w:w="60" w:type="dxa"/>
              <w:left w:w="60" w:type="dxa"/>
              <w:bottom w:w="60" w:type="dxa"/>
              <w:right w:w="60" w:type="dxa"/>
            </w:tcMar>
          </w:tcPr>
          <w:p>
            <w:pPr>
              <w:pStyle w:val="10"/>
              <w:spacing w:before="0" w:after="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2246" w:type="dxa"/>
            <w:tcBorders>
              <w:bottom w:val="single" w:color="auto" w:sz="12" w:space="0"/>
            </w:tcBorders>
          </w:tcPr>
          <w:p>
            <w:pPr>
              <w:keepNext w:val="0"/>
              <w:keepLines w:val="0"/>
              <w:widowControl/>
              <w:suppressLineNumbers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型材架</w:t>
            </w:r>
          </w:p>
        </w:tc>
        <w:tc>
          <w:tcPr>
            <w:tcW w:w="953" w:type="dxa"/>
            <w:tcBorders>
              <w:bottom w:val="single" w:color="auto" w:sz="12" w:space="0"/>
            </w:tcBorders>
            <w:tcMar>
              <w:top w:w="60" w:type="dxa"/>
              <w:left w:w="60" w:type="dxa"/>
              <w:bottom w:w="60" w:type="dxa"/>
              <w:right w:w="60" w:type="dxa"/>
            </w:tcMar>
          </w:tcPr>
          <w:p>
            <w:pPr>
              <w:pStyle w:val="10"/>
              <w:spacing w:before="0" w:after="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1021" w:type="dxa"/>
            <w:tcBorders>
              <w:bottom w:val="single" w:color="auto" w:sz="12" w:space="0"/>
            </w:tcBorders>
          </w:tcPr>
          <w:p>
            <w:pPr>
              <w:pStyle w:val="10"/>
              <w:spacing w:before="0" w:after="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套</w:t>
            </w:r>
          </w:p>
        </w:tc>
        <w:tc>
          <w:tcPr>
            <w:tcW w:w="2388" w:type="dxa"/>
            <w:tcBorders>
              <w:bottom w:val="single" w:color="auto" w:sz="12" w:space="0"/>
              <w:right w:val="single" w:color="auto" w:sz="12" w:space="0"/>
            </w:tcBorders>
            <w:tcMar>
              <w:top w:w="60" w:type="dxa"/>
              <w:left w:w="60" w:type="dxa"/>
              <w:bottom w:w="60" w:type="dxa"/>
              <w:right w:w="60" w:type="dxa"/>
            </w:tcMar>
          </w:tcPr>
          <w:p>
            <w:pPr>
              <w:pStyle w:val="10"/>
              <w:spacing w:before="0" w:after="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含6种共7个型材架</w:t>
            </w:r>
          </w:p>
        </w:tc>
      </w:tr>
    </w:tbl>
    <w:p>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5.验收方式：</w:t>
      </w:r>
    </w:p>
    <w:p>
      <w:pPr>
        <w:spacing w:line="560" w:lineRule="exact"/>
        <w:ind w:firstLine="592" w:firstLineChars="200"/>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（1）外协方在完成结构件加工后，通知甲方下场验收，针对每一个结构件的外观尺寸等指标进行测试、签字确认。</w:t>
      </w:r>
    </w:p>
    <w:p>
      <w:pPr>
        <w:spacing w:line="560" w:lineRule="exact"/>
        <w:ind w:firstLine="592" w:firstLineChars="200"/>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（2）供应商应具备完整的质量管理体系，严格生产过程中的质量要求，保留过程文件备查；</w:t>
      </w:r>
    </w:p>
    <w:p>
      <w:pPr>
        <w:spacing w:line="560" w:lineRule="exact"/>
        <w:ind w:firstLine="592" w:firstLineChars="200"/>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（3）配合甲方完成必要的方案修改和调整；</w:t>
      </w:r>
    </w:p>
    <w:p>
      <w:pPr>
        <w:spacing w:line="560" w:lineRule="exact"/>
        <w:ind w:firstLine="592" w:firstLineChars="200"/>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（4）交付时产品外观无缺陷、破损等问题；</w:t>
      </w:r>
    </w:p>
    <w:p>
      <w:pPr>
        <w:spacing w:line="560" w:lineRule="exact"/>
        <w:ind w:firstLine="592" w:firstLineChars="200"/>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（5）包装运输：外协方须对成品件进行妥善包装，并负责运输至甲方指定交付地点，运输风险由外协方承担。</w:t>
      </w:r>
    </w:p>
    <w:p>
      <w:pPr>
        <w:pStyle w:val="11"/>
        <w:widowControl/>
        <w:numPr>
          <w:ilvl w:val="0"/>
          <w:numId w:val="0"/>
        </w:numPr>
        <w:spacing w:line="400" w:lineRule="atLeast"/>
        <w:ind w:left="640" w:leftChars="0"/>
        <w:jc w:val="left"/>
      </w:pPr>
    </w:p>
    <w:p>
      <w:pPr>
        <w:pStyle w:val="11"/>
        <w:widowControl/>
        <w:numPr>
          <w:ilvl w:val="0"/>
          <w:numId w:val="0"/>
        </w:numPr>
        <w:spacing w:line="400" w:lineRule="atLeast"/>
        <w:ind w:left="640" w:leftChars="0"/>
        <w:jc w:val="left"/>
        <w:rPr>
          <w:rFonts w:hint="eastAsia" w:ascii="仿宋_GB2312" w:hAnsi="仿宋_GB2312" w:eastAsia="仿宋_GB2312" w:cs="仿宋_GB2312"/>
          <w:sz w:val="28"/>
          <w:szCs w:val="28"/>
        </w:rPr>
      </w:pPr>
      <w:r>
        <w:drawing>
          <wp:inline distT="0" distB="0" distL="114300" distR="114300">
            <wp:extent cx="4401185" cy="2017395"/>
            <wp:effectExtent l="0" t="0" r="571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6874" t="11963" r="8653" b="14239"/>
                    <a:stretch>
                      <a:fillRect/>
                    </a:stretch>
                  </pic:blipFill>
                  <pic:spPr>
                    <a:xfrm>
                      <a:off x="0" y="0"/>
                      <a:ext cx="4401185" cy="2017395"/>
                    </a:xfrm>
                    <a:prstGeom prst="rect">
                      <a:avLst/>
                    </a:prstGeom>
                    <a:noFill/>
                    <a:ln>
                      <a:noFill/>
                    </a:ln>
                  </pic:spPr>
                </pic:pic>
              </a:graphicData>
            </a:graphic>
          </wp:inline>
        </w:drawing>
      </w:r>
    </w:p>
    <w:p>
      <w:pPr>
        <w:pStyle w:val="3"/>
        <w:widowControl/>
        <w:numPr>
          <w:ilvl w:val="0"/>
          <w:numId w:val="0"/>
        </w:numPr>
        <w:spacing w:line="400" w:lineRule="atLeast"/>
        <w:ind w:left="640" w:leftChars="0"/>
        <w:jc w:val="center"/>
        <w:rPr>
          <w:rFonts w:hint="eastAsia" w:ascii="黑体" w:hAnsi="黑体" w:eastAsia="黑体" w:cs="黑体"/>
          <w:b w:val="0"/>
          <w:bCs w:val="0"/>
          <w:kern w:val="2"/>
          <w:sz w:val="28"/>
          <w:szCs w:val="28"/>
          <w:lang w:val="en-US" w:eastAsia="zh-CN" w:bidi="ar-SA"/>
        </w:rPr>
      </w:pPr>
      <w:r>
        <w:rPr>
          <w:rFonts w:hint="eastAsia" w:ascii="黑体" w:hAnsi="黑体" w:eastAsia="黑体" w:cs="黑体"/>
          <w:sz w:val="28"/>
          <w:szCs w:val="28"/>
        </w:rPr>
        <w:t xml:space="preserve">图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SEQ 图 \* ARABIC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 xml:space="preserve"> </w:t>
      </w:r>
      <w:r>
        <w:rPr>
          <w:rFonts w:hint="eastAsia" w:ascii="黑体" w:hAnsi="黑体" w:eastAsia="黑体" w:cs="黑体"/>
          <w:b w:val="0"/>
          <w:bCs w:val="0"/>
          <w:kern w:val="2"/>
          <w:sz w:val="28"/>
          <w:szCs w:val="28"/>
          <w:lang w:val="en-US" w:eastAsia="zh-CN" w:bidi="ar-SA"/>
        </w:rPr>
        <w:t>钨鼻锥模块</w:t>
      </w:r>
    </w:p>
    <w:p>
      <w:pPr>
        <w:jc w:val="center"/>
      </w:pPr>
      <w:r>
        <w:drawing>
          <wp:inline distT="0" distB="0" distL="114300" distR="114300">
            <wp:extent cx="3810000" cy="420052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810000" cy="4200525"/>
                    </a:xfrm>
                    <a:prstGeom prst="rect">
                      <a:avLst/>
                    </a:prstGeom>
                    <a:noFill/>
                    <a:ln>
                      <a:noFill/>
                    </a:ln>
                  </pic:spPr>
                </pic:pic>
              </a:graphicData>
            </a:graphic>
          </wp:inline>
        </w:drawing>
      </w:r>
    </w:p>
    <w:p>
      <w:pPr>
        <w:pStyle w:val="3"/>
        <w:jc w:val="center"/>
        <w:rPr>
          <w:rFonts w:hint="eastAsia" w:ascii="黑体" w:hAnsi="黑体" w:eastAsia="黑体" w:cs="黑体"/>
          <w:b w:val="0"/>
          <w:bCs w:val="0"/>
          <w:kern w:val="2"/>
          <w:sz w:val="28"/>
          <w:szCs w:val="28"/>
          <w:lang w:val="en-US" w:eastAsia="zh-CN" w:bidi="ar-SA"/>
        </w:rPr>
      </w:pPr>
      <w:r>
        <w:rPr>
          <w:rFonts w:hint="eastAsia" w:ascii="黑体" w:hAnsi="黑体" w:eastAsia="黑体" w:cs="黑体"/>
          <w:sz w:val="28"/>
          <w:szCs w:val="28"/>
        </w:rPr>
        <w:t xml:space="preserve">图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SEQ 图 \* ARABIC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 xml:space="preserve"> </w:t>
      </w:r>
      <w:r>
        <w:rPr>
          <w:rFonts w:hint="eastAsia" w:ascii="黑体" w:hAnsi="黑体" w:eastAsia="黑体" w:cs="黑体"/>
          <w:b w:val="0"/>
          <w:bCs w:val="0"/>
          <w:kern w:val="2"/>
          <w:sz w:val="28"/>
          <w:szCs w:val="28"/>
          <w:lang w:val="en-US" w:eastAsia="zh-CN" w:bidi="ar-SA"/>
        </w:rPr>
        <w:t>瞄准节部分</w:t>
      </w:r>
    </w:p>
    <w:p>
      <w:pPr>
        <w:jc w:val="center"/>
      </w:pPr>
      <w:r>
        <w:drawing>
          <wp:inline distT="0" distB="0" distL="114300" distR="114300">
            <wp:extent cx="6047105" cy="865505"/>
            <wp:effectExtent l="0" t="0" r="1079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047105" cy="865505"/>
                    </a:xfrm>
                    <a:prstGeom prst="rect">
                      <a:avLst/>
                    </a:prstGeom>
                    <a:noFill/>
                    <a:ln>
                      <a:noFill/>
                    </a:ln>
                  </pic:spPr>
                </pic:pic>
              </a:graphicData>
            </a:graphic>
          </wp:inline>
        </w:drawing>
      </w:r>
    </w:p>
    <w:p>
      <w:pPr>
        <w:pStyle w:val="3"/>
        <w:jc w:val="center"/>
        <w:rPr>
          <w:rFonts w:hint="eastAsia" w:ascii="黑体" w:hAnsi="黑体" w:eastAsia="黑体" w:cs="黑体"/>
          <w:b w:val="0"/>
          <w:bCs w:val="0"/>
          <w:kern w:val="2"/>
          <w:sz w:val="28"/>
          <w:szCs w:val="28"/>
          <w:lang w:val="en-US" w:eastAsia="zh-CN" w:bidi="ar-SA"/>
        </w:rPr>
      </w:pPr>
      <w:r>
        <w:rPr>
          <w:rFonts w:hint="eastAsia" w:ascii="黑体" w:hAnsi="黑体" w:eastAsia="黑体" w:cs="黑体"/>
          <w:sz w:val="28"/>
          <w:szCs w:val="28"/>
        </w:rPr>
        <w:t xml:space="preserve">图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SEQ 图 \* ARABIC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 xml:space="preserve"> </w:t>
      </w:r>
      <w:r>
        <w:rPr>
          <w:rFonts w:hint="eastAsia" w:ascii="黑体" w:hAnsi="黑体" w:eastAsia="黑体" w:cs="黑体"/>
          <w:b w:val="0"/>
          <w:bCs w:val="0"/>
          <w:kern w:val="2"/>
          <w:sz w:val="28"/>
          <w:szCs w:val="28"/>
          <w:lang w:val="en-US" w:eastAsia="zh-CN" w:bidi="ar-SA"/>
        </w:rPr>
        <w:t>DIM内结构件</w:t>
      </w:r>
    </w:p>
    <w:p/>
    <w:p/>
    <w:p>
      <w:r>
        <w:drawing>
          <wp:inline distT="0" distB="0" distL="114300" distR="114300">
            <wp:extent cx="6160770" cy="1150620"/>
            <wp:effectExtent l="0" t="0" r="1143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6160770" cy="1150620"/>
                    </a:xfrm>
                    <a:prstGeom prst="rect">
                      <a:avLst/>
                    </a:prstGeom>
                    <a:noFill/>
                    <a:ln>
                      <a:noFill/>
                    </a:ln>
                  </pic:spPr>
                </pic:pic>
              </a:graphicData>
            </a:graphic>
          </wp:inline>
        </w:drawing>
      </w:r>
    </w:p>
    <w:p>
      <w:pPr>
        <w:pStyle w:val="3"/>
        <w:jc w:val="center"/>
        <w:rPr>
          <w:rFonts w:hint="eastAsia"/>
          <w:lang w:val="en-US" w:eastAsia="zh-CN"/>
        </w:rPr>
      </w:pPr>
      <w:r>
        <w:rPr>
          <w:rFonts w:hint="eastAsia" w:ascii="黑体" w:hAnsi="黑体" w:eastAsia="黑体" w:cs="黑体"/>
          <w:sz w:val="28"/>
          <w:szCs w:val="28"/>
        </w:rPr>
        <w:t xml:space="preserve">图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SEQ 图 \* ARABIC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b w:val="0"/>
          <w:bCs w:val="0"/>
          <w:kern w:val="2"/>
          <w:sz w:val="28"/>
          <w:szCs w:val="28"/>
          <w:lang w:val="en-US" w:eastAsia="zh-CN" w:bidi="ar-SA"/>
        </w:rPr>
        <w:t>DIM外结构件与型材架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ascii="仿宋_GB2312" w:hAnsi="Times New Roman" w:eastAsia="仿宋_GB2312" w:cs="Times New Roman"/>
          <w:bCs/>
          <w:kern w:val="0"/>
          <w:sz w:val="28"/>
          <w:szCs w:val="28"/>
          <w:lang w:val="en-US" w:eastAsia="zh-CN"/>
        </w:rPr>
        <w:t>如上图所示遮光筒将内部作为内部镜筒的固定和连接结构，构成光学系统的外部框架结构。</w:t>
      </w:r>
    </w:p>
    <w:p>
      <w:pPr>
        <w:pStyle w:val="3"/>
        <w:jc w:val="center"/>
        <w:rPr>
          <w:rFonts w:hint="eastAsia" w:ascii="仿宋_GB2312" w:hAnsi="仿宋_GB2312" w:eastAsia="仿宋_GB2312" w:cs="仿宋_GB2312"/>
          <w:b/>
          <w:bCs/>
          <w:sz w:val="28"/>
          <w:szCs w:val="28"/>
        </w:rPr>
      </w:pPr>
      <w:r>
        <w:rPr>
          <w:rFonts w:hint="eastAsia" w:ascii="黑体" w:hAnsi="黑体"/>
          <w:sz w:val="28"/>
          <w:szCs w:val="28"/>
        </w:rPr>
        <w:t xml:space="preserve">表 </w:t>
      </w:r>
      <w:r>
        <w:rPr>
          <w:rFonts w:ascii="黑体" w:hAnsi="黑体"/>
          <w:sz w:val="28"/>
          <w:szCs w:val="28"/>
        </w:rPr>
        <w:fldChar w:fldCharType="begin"/>
      </w:r>
      <w:r>
        <w:rPr>
          <w:rFonts w:ascii="黑体" w:hAnsi="黑体"/>
          <w:sz w:val="28"/>
          <w:szCs w:val="28"/>
        </w:rPr>
        <w:instrText xml:space="preserve"> </w:instrText>
      </w:r>
      <w:r>
        <w:rPr>
          <w:rFonts w:hint="eastAsia" w:ascii="黑体" w:hAnsi="黑体"/>
          <w:sz w:val="28"/>
          <w:szCs w:val="28"/>
        </w:rPr>
        <w:instrText xml:space="preserve">SEQ 表 \* ARABIC</w:instrText>
      </w:r>
      <w:r>
        <w:rPr>
          <w:rFonts w:ascii="黑体" w:hAnsi="黑体"/>
          <w:sz w:val="28"/>
          <w:szCs w:val="28"/>
        </w:rPr>
        <w:instrText xml:space="preserve"> </w:instrText>
      </w:r>
      <w:r>
        <w:rPr>
          <w:rFonts w:ascii="黑体" w:hAnsi="黑体"/>
          <w:sz w:val="28"/>
          <w:szCs w:val="28"/>
        </w:rPr>
        <w:fldChar w:fldCharType="separate"/>
      </w:r>
      <w:r>
        <w:rPr>
          <w:rFonts w:hint="eastAsia" w:ascii="黑体" w:hAnsi="黑体"/>
          <w:sz w:val="28"/>
          <w:szCs w:val="28"/>
        </w:rPr>
        <w:t>2</w:t>
      </w:r>
      <w:r>
        <w:rPr>
          <w:rFonts w:ascii="黑体" w:hAnsi="黑体"/>
          <w:sz w:val="28"/>
          <w:szCs w:val="28"/>
        </w:rPr>
        <w:fldChar w:fldCharType="end"/>
      </w:r>
      <w:r>
        <w:rPr>
          <w:rFonts w:hint="eastAsia" w:ascii="黑体" w:hAnsi="黑体" w:eastAsia="黑体" w:cs="黑体"/>
          <w:b w:val="0"/>
          <w:bCs w:val="0"/>
          <w:sz w:val="28"/>
          <w:szCs w:val="28"/>
        </w:rPr>
        <w:t>技术指标验收要求表</w:t>
      </w:r>
    </w:p>
    <w:tbl>
      <w:tblPr>
        <w:tblStyle w:val="8"/>
        <w:tblW w:w="10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636"/>
        <w:gridCol w:w="3033"/>
        <w:gridCol w:w="3766"/>
        <w:gridCol w:w="2059"/>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trHeight w:val="197" w:hRule="atLeast"/>
          <w:jc w:val="center"/>
        </w:trPr>
        <w:tc>
          <w:tcPr>
            <w:tcW w:w="636" w:type="dxa"/>
            <w:tcBorders>
              <w:top w:val="single" w:color="auto" w:sz="12" w:space="0"/>
              <w:left w:val="single" w:color="auto" w:sz="12" w:space="0"/>
              <w:bottom w:val="single" w:color="auto" w:sz="12" w:space="0"/>
            </w:tcBorders>
            <w:tcMar>
              <w:top w:w="60" w:type="dxa"/>
              <w:left w:w="60" w:type="dxa"/>
              <w:bottom w:w="60" w:type="dxa"/>
              <w:right w:w="60" w:type="dxa"/>
            </w:tcMar>
            <w:vAlign w:val="center"/>
          </w:tcPr>
          <w:p>
            <w:pPr>
              <w:pStyle w:val="10"/>
              <w:spacing w:before="0" w:after="0"/>
              <w:jc w:val="center"/>
              <w:rPr>
                <w:b/>
                <w:bCs/>
                <w:sz w:val="21"/>
                <w:szCs w:val="21"/>
              </w:rPr>
            </w:pPr>
            <w:r>
              <w:rPr>
                <w:rFonts w:hint="eastAsia"/>
                <w:b/>
                <w:bCs/>
                <w:sz w:val="21"/>
                <w:szCs w:val="21"/>
              </w:rPr>
              <w:t>序号</w:t>
            </w:r>
          </w:p>
        </w:tc>
        <w:tc>
          <w:tcPr>
            <w:tcW w:w="3033" w:type="dxa"/>
            <w:tcBorders>
              <w:top w:val="single" w:color="auto" w:sz="12" w:space="0"/>
              <w:bottom w:val="single" w:color="auto" w:sz="12" w:space="0"/>
            </w:tcBorders>
            <w:vAlign w:val="center"/>
          </w:tcPr>
          <w:p>
            <w:pPr>
              <w:pStyle w:val="10"/>
              <w:spacing w:before="0" w:after="0"/>
              <w:jc w:val="center"/>
              <w:rPr>
                <w:b/>
                <w:bCs/>
                <w:sz w:val="21"/>
                <w:szCs w:val="21"/>
              </w:rPr>
            </w:pPr>
            <w:r>
              <w:rPr>
                <w:rFonts w:hint="eastAsia"/>
                <w:b/>
                <w:bCs/>
                <w:sz w:val="21"/>
                <w:szCs w:val="21"/>
              </w:rPr>
              <w:t>类型</w:t>
            </w:r>
          </w:p>
        </w:tc>
        <w:tc>
          <w:tcPr>
            <w:tcW w:w="3766" w:type="dxa"/>
            <w:tcBorders>
              <w:top w:val="single" w:color="auto" w:sz="12" w:space="0"/>
              <w:bottom w:val="single" w:color="auto" w:sz="12" w:space="0"/>
            </w:tcBorders>
            <w:tcMar>
              <w:top w:w="60" w:type="dxa"/>
              <w:left w:w="60" w:type="dxa"/>
              <w:bottom w:w="60" w:type="dxa"/>
              <w:right w:w="60" w:type="dxa"/>
            </w:tcMar>
            <w:vAlign w:val="center"/>
          </w:tcPr>
          <w:p>
            <w:pPr>
              <w:pStyle w:val="10"/>
              <w:spacing w:before="0" w:after="0"/>
              <w:jc w:val="center"/>
              <w:rPr>
                <w:b/>
                <w:bCs/>
                <w:sz w:val="21"/>
                <w:szCs w:val="21"/>
              </w:rPr>
            </w:pPr>
            <w:r>
              <w:rPr>
                <w:rFonts w:hint="eastAsia"/>
                <w:b/>
                <w:bCs/>
                <w:sz w:val="21"/>
                <w:szCs w:val="21"/>
              </w:rPr>
              <w:t>验收要求</w:t>
            </w:r>
          </w:p>
        </w:tc>
        <w:tc>
          <w:tcPr>
            <w:tcW w:w="2059" w:type="dxa"/>
            <w:tcBorders>
              <w:top w:val="single" w:color="auto" w:sz="12" w:space="0"/>
              <w:bottom w:val="single" w:color="auto" w:sz="12" w:space="0"/>
            </w:tcBorders>
            <w:vAlign w:val="center"/>
          </w:tcPr>
          <w:p>
            <w:pPr>
              <w:pStyle w:val="10"/>
              <w:spacing w:before="0" w:after="0"/>
              <w:jc w:val="center"/>
              <w:rPr>
                <w:b/>
                <w:bCs/>
                <w:sz w:val="21"/>
                <w:szCs w:val="21"/>
              </w:rPr>
            </w:pPr>
            <w:r>
              <w:rPr>
                <w:rFonts w:hint="eastAsia"/>
                <w:b/>
                <w:bCs/>
                <w:sz w:val="21"/>
                <w:szCs w:val="21"/>
              </w:rPr>
              <w:t>验收方法</w:t>
            </w:r>
          </w:p>
        </w:tc>
        <w:tc>
          <w:tcPr>
            <w:tcW w:w="604" w:type="dxa"/>
            <w:tcBorders>
              <w:top w:val="single" w:color="auto" w:sz="12" w:space="0"/>
              <w:bottom w:val="single" w:color="auto" w:sz="12" w:space="0"/>
              <w:right w:val="single" w:color="auto" w:sz="12" w:space="0"/>
            </w:tcBorders>
            <w:tcMar>
              <w:top w:w="60" w:type="dxa"/>
              <w:left w:w="60" w:type="dxa"/>
              <w:bottom w:w="60" w:type="dxa"/>
              <w:right w:w="60" w:type="dxa"/>
            </w:tcMar>
            <w:vAlign w:val="center"/>
          </w:tcPr>
          <w:p>
            <w:pPr>
              <w:pStyle w:val="10"/>
              <w:spacing w:before="0" w:after="0"/>
              <w:jc w:val="center"/>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636" w:type="dxa"/>
            <w:tcBorders>
              <w:top w:val="single" w:color="auto" w:sz="12" w:space="0"/>
              <w:left w:val="single" w:color="auto" w:sz="12" w:space="0"/>
            </w:tcBorders>
            <w:tcMar>
              <w:top w:w="60" w:type="dxa"/>
              <w:left w:w="60" w:type="dxa"/>
              <w:bottom w:w="60" w:type="dxa"/>
              <w:right w:w="60" w:type="dxa"/>
            </w:tcMar>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3033" w:type="dxa"/>
            <w:tcBorders>
              <w:top w:val="single" w:color="auto" w:sz="12" w:space="0"/>
            </w:tcBorders>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外协厂家按照我方结构设计图纸完成加工</w:t>
            </w:r>
          </w:p>
        </w:tc>
        <w:tc>
          <w:tcPr>
            <w:tcW w:w="3766" w:type="dxa"/>
            <w:tcBorders>
              <w:top w:val="single" w:color="auto" w:sz="12" w:space="0"/>
            </w:tcBorders>
            <w:tcMar>
              <w:top w:w="60" w:type="dxa"/>
              <w:left w:w="60" w:type="dxa"/>
              <w:bottom w:w="60" w:type="dxa"/>
              <w:right w:w="60" w:type="dxa"/>
            </w:tcMar>
            <w:vAlign w:val="center"/>
          </w:tcPr>
          <w:p>
            <w:pPr>
              <w:pStyle w:val="10"/>
              <w:spacing w:before="0" w:after="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结构件加工符合图纸的尺寸要求</w:t>
            </w:r>
          </w:p>
        </w:tc>
        <w:tc>
          <w:tcPr>
            <w:tcW w:w="2059" w:type="dxa"/>
            <w:tcBorders>
              <w:top w:val="single" w:color="auto" w:sz="12" w:space="0"/>
            </w:tcBorders>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乙方自测试、甲方下场验收</w:t>
            </w:r>
          </w:p>
        </w:tc>
        <w:tc>
          <w:tcPr>
            <w:tcW w:w="604" w:type="dxa"/>
            <w:tcBorders>
              <w:top w:val="single" w:color="auto" w:sz="12" w:space="0"/>
              <w:right w:val="single" w:color="auto" w:sz="12" w:space="0"/>
            </w:tcBorders>
            <w:tcMar>
              <w:top w:w="60" w:type="dxa"/>
              <w:left w:w="60" w:type="dxa"/>
              <w:bottom w:w="60" w:type="dxa"/>
              <w:right w:w="60" w:type="dxa"/>
            </w:tcMar>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636" w:type="dxa"/>
            <w:tcBorders>
              <w:left w:val="single" w:color="auto" w:sz="12" w:space="0"/>
            </w:tcBorders>
            <w:tcMar>
              <w:top w:w="60" w:type="dxa"/>
              <w:left w:w="60" w:type="dxa"/>
              <w:bottom w:w="60" w:type="dxa"/>
              <w:right w:w="60" w:type="dxa"/>
            </w:tcMar>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3033" w:type="dxa"/>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按照技术要求对元器件进行阳极氧化发黑处理</w:t>
            </w:r>
          </w:p>
        </w:tc>
        <w:tc>
          <w:tcPr>
            <w:tcW w:w="3766" w:type="dxa"/>
            <w:tcMar>
              <w:top w:w="60" w:type="dxa"/>
              <w:left w:w="60" w:type="dxa"/>
              <w:bottom w:w="60" w:type="dxa"/>
              <w:right w:w="60" w:type="dxa"/>
            </w:tcMar>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按照技术要求对结构件进行阳极氧化发黑处理即为合格</w:t>
            </w:r>
          </w:p>
        </w:tc>
        <w:tc>
          <w:tcPr>
            <w:tcW w:w="2059" w:type="dxa"/>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乙方自测试、甲方下场验收。</w:t>
            </w:r>
          </w:p>
        </w:tc>
        <w:tc>
          <w:tcPr>
            <w:tcW w:w="604" w:type="dxa"/>
            <w:tcBorders>
              <w:right w:val="single" w:color="auto" w:sz="12" w:space="0"/>
            </w:tcBorders>
            <w:tcMar>
              <w:top w:w="60" w:type="dxa"/>
              <w:left w:w="60" w:type="dxa"/>
              <w:bottom w:w="60" w:type="dxa"/>
              <w:right w:w="60" w:type="dxa"/>
            </w:tcMar>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636" w:type="dxa"/>
            <w:tcBorders>
              <w:left w:val="single" w:color="auto" w:sz="12" w:space="0"/>
            </w:tcBorders>
            <w:tcMar>
              <w:top w:w="60" w:type="dxa"/>
              <w:left w:w="60" w:type="dxa"/>
              <w:bottom w:w="60" w:type="dxa"/>
              <w:right w:w="60" w:type="dxa"/>
            </w:tcMar>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3033" w:type="dxa"/>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按照型材架设计要求，完成型材架的制造、组装。</w:t>
            </w:r>
          </w:p>
        </w:tc>
        <w:tc>
          <w:tcPr>
            <w:tcW w:w="3766" w:type="dxa"/>
            <w:tcMar>
              <w:top w:w="60" w:type="dxa"/>
              <w:left w:w="60" w:type="dxa"/>
              <w:bottom w:w="60" w:type="dxa"/>
              <w:right w:w="60" w:type="dxa"/>
            </w:tcMar>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型材架满足设计要求为合格。</w:t>
            </w:r>
          </w:p>
        </w:tc>
        <w:tc>
          <w:tcPr>
            <w:tcW w:w="2059" w:type="dxa"/>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乙方自测试、甲方下场验收。</w:t>
            </w:r>
          </w:p>
        </w:tc>
        <w:tc>
          <w:tcPr>
            <w:tcW w:w="604" w:type="dxa"/>
            <w:tcBorders>
              <w:right w:val="single" w:color="auto" w:sz="12" w:space="0"/>
            </w:tcBorders>
            <w:tcMar>
              <w:top w:w="60" w:type="dxa"/>
              <w:left w:w="60" w:type="dxa"/>
              <w:bottom w:w="60" w:type="dxa"/>
              <w:right w:w="60" w:type="dxa"/>
            </w:tcMar>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636" w:type="dxa"/>
            <w:tcBorders>
              <w:left w:val="single" w:color="auto" w:sz="12" w:space="0"/>
              <w:bottom w:val="single" w:color="auto" w:sz="12" w:space="0"/>
            </w:tcBorders>
            <w:tcMar>
              <w:top w:w="60" w:type="dxa"/>
              <w:left w:w="60" w:type="dxa"/>
              <w:bottom w:w="60" w:type="dxa"/>
              <w:right w:w="60" w:type="dxa"/>
            </w:tcMar>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c>
          <w:tcPr>
            <w:tcW w:w="3033" w:type="dxa"/>
            <w:tcBorders>
              <w:bottom w:val="single" w:color="auto" w:sz="12" w:space="0"/>
            </w:tcBorders>
            <w:shd w:val="clear" w:color="auto" w:fill="auto"/>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产品铭牌标识信息要求</w:t>
            </w:r>
          </w:p>
        </w:tc>
        <w:tc>
          <w:tcPr>
            <w:tcW w:w="3766" w:type="dxa"/>
            <w:tcBorders>
              <w:bottom w:val="single" w:color="auto" w:sz="12" w:space="0"/>
            </w:tcBorders>
            <w:shd w:val="clear" w:color="auto" w:fill="auto"/>
            <w:tcMar>
              <w:top w:w="60" w:type="dxa"/>
              <w:left w:w="60" w:type="dxa"/>
              <w:bottom w:w="60" w:type="dxa"/>
              <w:right w:w="60" w:type="dxa"/>
            </w:tcMar>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规格满足附件1要求即为合格。</w:t>
            </w:r>
          </w:p>
        </w:tc>
        <w:tc>
          <w:tcPr>
            <w:tcW w:w="2059" w:type="dxa"/>
            <w:tcBorders>
              <w:bottom w:val="single" w:color="auto" w:sz="12" w:space="0"/>
            </w:tcBorders>
            <w:shd w:val="clear" w:color="auto" w:fill="auto"/>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甲方下场验收。</w:t>
            </w:r>
          </w:p>
        </w:tc>
        <w:tc>
          <w:tcPr>
            <w:tcW w:w="604" w:type="dxa"/>
            <w:tcBorders>
              <w:bottom w:val="single" w:color="auto" w:sz="12" w:space="0"/>
              <w:right w:val="single" w:color="auto" w:sz="12" w:space="0"/>
            </w:tcBorders>
            <w:tcMar>
              <w:top w:w="60" w:type="dxa"/>
              <w:left w:w="60" w:type="dxa"/>
              <w:bottom w:w="60" w:type="dxa"/>
              <w:right w:w="60" w:type="dxa"/>
            </w:tcMar>
            <w:vAlign w:val="center"/>
          </w:tcPr>
          <w:p>
            <w:pPr>
              <w:pStyle w:val="10"/>
              <w:spacing w:before="0" w:after="0"/>
              <w:jc w:val="center"/>
              <w:rPr>
                <w:rFonts w:hint="eastAsia" w:ascii="仿宋_GB2312" w:hAnsi="仿宋_GB2312" w:eastAsia="仿宋_GB2312" w:cs="仿宋_GB2312"/>
                <w:kern w:val="2"/>
                <w:sz w:val="24"/>
                <w:szCs w:val="24"/>
                <w:lang w:val="en-US" w:eastAsia="zh-CN" w:bidi="ar-SA"/>
              </w:rPr>
            </w:pPr>
          </w:p>
        </w:tc>
      </w:tr>
    </w:tbl>
    <w:p>
      <w:pPr>
        <w:pStyle w:val="2"/>
        <w:keepNext w:val="0"/>
        <w:keepLines w:val="0"/>
        <w:pageBreakBefore w:val="0"/>
        <w:widowControl/>
        <w:kinsoku/>
        <w:wordWrap/>
        <w:overflowPunct/>
        <w:topLinePunct w:val="0"/>
        <w:autoSpaceDE/>
        <w:autoSpaceDN/>
        <w:bidi w:val="0"/>
        <w:adjustRightInd/>
        <w:snapToGrid/>
        <w:spacing w:before="0" w:after="0" w:line="560" w:lineRule="exact"/>
        <w:ind w:leftChars="0" w:firstLine="643" w:firstLineChars="200"/>
        <w:jc w:val="both"/>
        <w:textAlignment w:val="auto"/>
        <w:rPr>
          <w:rFonts w:hint="eastAsia"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val="0"/>
          <w:spacing w:val="0"/>
          <w:sz w:val="32"/>
          <w:szCs w:val="32"/>
          <w:lang w:val="en-US" w:eastAsia="zh-CN"/>
        </w:rPr>
        <w:t>二、付款方式</w:t>
      </w:r>
      <w:r>
        <w:rPr>
          <w:rFonts w:hint="eastAsia" w:ascii="仿宋_GB2312" w:hAnsi="仿宋_GB2312" w:eastAsia="仿宋_GB2312" w:cs="仿宋_GB2312"/>
          <w:b/>
          <w:bCs/>
          <w:sz w:val="30"/>
          <w:szCs w:val="30"/>
          <w:highlight w:val="none"/>
        </w:rPr>
        <w:t>★</w:t>
      </w:r>
    </w:p>
    <w:p>
      <w:pPr>
        <w:pStyle w:val="11"/>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本次科研生产外协采用分期付款，分期方式如下：</w:t>
      </w:r>
    </w:p>
    <w:p>
      <w:pPr>
        <w:pStyle w:val="11"/>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1.合同签订后10个工作日内支付合同金额的30%；</w:t>
      </w:r>
    </w:p>
    <w:p>
      <w:pPr>
        <w:pStyle w:val="11"/>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2.验收完成后10个工作日内支付合同金额的70%。</w:t>
      </w:r>
    </w:p>
    <w:p>
      <w:pPr>
        <w:pStyle w:val="2"/>
        <w:keepNext w:val="0"/>
        <w:keepLines w:val="0"/>
        <w:pageBreakBefore w:val="0"/>
        <w:widowControl/>
        <w:kinsoku/>
        <w:wordWrap/>
        <w:overflowPunct/>
        <w:topLinePunct w:val="0"/>
        <w:autoSpaceDE/>
        <w:autoSpaceDN/>
        <w:bidi w:val="0"/>
        <w:adjustRightInd/>
        <w:snapToGrid/>
        <w:spacing w:before="0" w:after="0" w:line="560" w:lineRule="exact"/>
        <w:ind w:leftChars="0" w:firstLine="643" w:firstLineChars="200"/>
        <w:jc w:val="both"/>
        <w:textAlignment w:val="auto"/>
        <w:rPr>
          <w:rFonts w:hint="default"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val="0"/>
          <w:spacing w:val="0"/>
          <w:sz w:val="32"/>
          <w:szCs w:val="32"/>
          <w:lang w:val="en-US" w:eastAsia="zh-CN"/>
        </w:rPr>
        <w:t>三、质保期限</w:t>
      </w:r>
      <w:r>
        <w:rPr>
          <w:rFonts w:hint="eastAsia" w:ascii="仿宋_GB2312" w:hAnsi="仿宋_GB2312" w:eastAsia="仿宋_GB2312" w:cs="仿宋_GB2312"/>
          <w:b/>
          <w:bCs/>
          <w:sz w:val="30"/>
          <w:szCs w:val="30"/>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0" w:firstLineChars="200"/>
        <w:textAlignment w:val="baseline"/>
        <w:rPr>
          <w:rFonts w:hint="default" w:ascii="仿宋_GB2312" w:hAnsi="仿宋_GB2312" w:eastAsia="仿宋_GB2312" w:cs="仿宋_GB2312"/>
          <w:snapToGrid w:val="0"/>
          <w:color w:val="000000"/>
          <w:spacing w:val="0"/>
          <w:kern w:val="0"/>
          <w:sz w:val="30"/>
          <w:szCs w:val="30"/>
          <w:lang w:val="en-US" w:eastAsia="zh-CN" w:bidi="ar-SA"/>
        </w:rPr>
      </w:pPr>
      <w:r>
        <w:rPr>
          <w:rFonts w:hint="eastAsia" w:ascii="仿宋_GB2312" w:hAnsi="仿宋_GB2312" w:eastAsia="仿宋_GB2312" w:cs="仿宋_GB2312"/>
          <w:snapToGrid w:val="0"/>
          <w:color w:val="000000"/>
          <w:spacing w:val="0"/>
          <w:kern w:val="0"/>
          <w:sz w:val="30"/>
          <w:szCs w:val="30"/>
          <w:lang w:val="en-US" w:eastAsia="zh-CN" w:bidi="ar-SA"/>
        </w:rPr>
        <w:t>验收完成后最低质保三年。在质保期内，乙方收到甲方通知后应在2小时内响应，并及时根据甲方反馈情况进行处理。乙方对有质保责任的产品或部件以合理的期限免费维修或更换有缺陷的产品或部件，被修理或更换的产品或部件从乙方至最终目的地的相关费用由乙方承担明。</w:t>
      </w:r>
    </w:p>
    <w:p>
      <w:pPr>
        <w:pStyle w:val="4"/>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说明：1.本章科研生产外协项目技术、服务及其他商务要求中所有条款均为本次科研生产外协项目的实质性要求（另有说明条款除外），供应商应全部满足。</w:t>
      </w:r>
    </w:p>
    <w:p>
      <w:pPr>
        <w:pStyle w:val="4"/>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2.本章中如涉及“甲方、用户、需方、我院”均泛指采购人，“乙方、供方、承研方”均泛指供应商。</w:t>
      </w:r>
    </w:p>
    <w:p>
      <w:pPr>
        <w:pStyle w:val="4"/>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3.本科研生产外协文件如涉及到配置或材料的商标、品牌、生产厂家、产地等，仅起说明作用，其目的在于清楚明确地说明科研生产外协项目的技术标准和要求。供应商响应时可选择本章推荐的，也可选择相当于或优于推荐商标、品牌、生产厂家、产地、型号的配置或材料。</w:t>
      </w:r>
    </w:p>
    <w:p>
      <w:pPr>
        <w:pStyle w:val="4"/>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4.供应商请勿在其响应文件中提供涉密资料，由此带来的后果自负。</w:t>
      </w:r>
    </w:p>
    <w:p>
      <w:pPr>
        <w:rPr>
          <w:rFonts w:hint="eastAsia" w:ascii="仿宋_GB2312" w:hAnsi="仿宋_GB2312" w:eastAsia="仿宋_GB2312" w:cs="仿宋_GB2312"/>
          <w:b/>
          <w:bCs/>
          <w:sz w:val="30"/>
          <w:szCs w:val="30"/>
          <w:lang w:val="en-US" w:eastAsia="zh-CN"/>
        </w:rPr>
      </w:pPr>
    </w:p>
    <w:p>
      <w:r>
        <w:rPr>
          <w:rFonts w:hint="eastAsia" w:ascii="仿宋_GB2312" w:hAnsi="仿宋_GB2312" w:eastAsia="仿宋_GB2312" w:cs="仿宋_GB2312"/>
          <w:b/>
          <w:bCs/>
          <w:sz w:val="30"/>
          <w:szCs w:val="30"/>
          <w:lang w:val="en-US" w:eastAsia="zh-CN"/>
        </w:rPr>
        <w:t>5.合同签订技术指标以供应商响应文件实际应答为准。</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365D8"/>
    <w:rsid w:val="176365D8"/>
    <w:rsid w:val="4292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both"/>
      <w:textAlignment w:val="baseline"/>
    </w:pPr>
    <w:rPr>
      <w:rFonts w:ascii="Arial" w:hAnsi="Arial" w:eastAsia="仿宋_GB2312" w:cs="Arial"/>
      <w:snapToGrid w:val="0"/>
      <w:color w:val="000000"/>
      <w:kern w:val="0"/>
      <w:sz w:val="32"/>
      <w:szCs w:val="21"/>
      <w:lang w:val="en-US" w:eastAsia="en-US" w:bidi="ar-SA"/>
    </w:rPr>
  </w:style>
  <w:style w:type="paragraph" w:styleId="2">
    <w:name w:val="heading 4"/>
    <w:basedOn w:val="1"/>
    <w:next w:val="1"/>
    <w:unhideWhenUsed/>
    <w:qFormat/>
    <w:uiPriority w:val="0"/>
    <w:pPr>
      <w:keepNext/>
      <w:keepLines/>
      <w:spacing w:before="40" w:beforeLines="0" w:beforeAutospacing="0" w:after="50" w:afterLines="0" w:afterAutospacing="0" w:line="240" w:lineRule="auto"/>
      <w:ind w:leftChars="200"/>
      <w:jc w:val="both"/>
      <w:outlineLvl w:val="3"/>
    </w:pPr>
    <w:rPr>
      <w:rFonts w:eastAsia="黑体"/>
      <w:b/>
      <w:sz w:val="28"/>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caption"/>
    <w:basedOn w:val="1"/>
    <w:next w:val="1"/>
    <w:unhideWhenUsed/>
    <w:qFormat/>
    <w:uiPriority w:val="0"/>
    <w:pPr>
      <w:widowControl w:val="0"/>
      <w:topLinePunct/>
      <w:spacing w:after="0" w:line="360" w:lineRule="auto"/>
      <w:ind w:firstLine="200" w:firstLineChars="200"/>
      <w:jc w:val="center"/>
    </w:pPr>
    <w:rPr>
      <w:rFonts w:asciiTheme="majorHAnsi" w:hAnsiTheme="majorHAnsi" w:cstheme="majorBidi"/>
      <w:kern w:val="2"/>
      <w:sz w:val="21"/>
      <w:szCs w:val="20"/>
      <w:lang w:eastAsia="zh-CN"/>
    </w:rPr>
  </w:style>
  <w:style w:type="paragraph" w:styleId="4">
    <w:name w:val="Body Text"/>
    <w:basedOn w:val="1"/>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10"/>
    <w:pPr>
      <w:spacing w:before="240" w:after="60"/>
      <w:jc w:val="center"/>
      <w:outlineLvl w:val="0"/>
    </w:pPr>
    <w:rPr>
      <w:rFonts w:ascii="Cambria" w:hAnsi="Cambria"/>
      <w:b/>
      <w:bCs/>
      <w:szCs w:val="32"/>
    </w:rPr>
  </w:style>
  <w:style w:type="paragraph" w:customStyle="1" w:styleId="10">
    <w:name w:val="图表内容"/>
    <w:basedOn w:val="1"/>
    <w:qFormat/>
    <w:uiPriority w:val="0"/>
    <w:pPr>
      <w:snapToGrid w:val="0"/>
      <w:spacing w:before="120" w:after="120"/>
      <w:jc w:val="center"/>
    </w:pPr>
    <w:rPr>
      <w:rFonts w:ascii="宋体" w:hAnsi="Times New Roman" w:eastAsia="宋体" w:cs="Times New Roman"/>
      <w:sz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2025-07-28T09:46:00Z</dcterms:created>
  <dc:creator>周科礼</dc:creator>
  <cp:lastModifiedBy>周科礼</cp:lastModifiedBy>
  <dcterms:modified xsi:type="dcterms:W3CDTF">2025-07-28T09:47:36Z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FD5DBEE153D445D881419415BE8F0201</vt:lpwstr>
  </property>
</Properties>
</file>