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numPr>
          <w:ilvl w:val="0"/>
          <w:numId w:val="1"/>
        </w:numPr>
        <w:kinsoku/>
        <w:autoSpaceDE/>
        <w:autoSpaceDN/>
        <w:bidi w:val="0"/>
        <w:adjustRightInd/>
        <w:snapToGrid/>
        <w:ind w:firstLine="442" w:firstLineChars="100"/>
        <w:jc w:val="center"/>
        <w:textAlignment w:val="auto"/>
        <w:outlineLvl w:val="0"/>
        <w:rPr>
          <w:rFonts w:hint="eastAsia" w:ascii="仿宋_GB2312" w:hAnsi="仿宋_GB2312" w:cs="仿宋_GB2312"/>
          <w:snapToGrid/>
          <w:color w:val="auto"/>
          <w:kern w:val="2"/>
          <w:sz w:val="44"/>
          <w:szCs w:val="44"/>
          <w:highlight w:val="none"/>
          <w:lang w:eastAsia="zh-CN"/>
        </w:rPr>
      </w:pPr>
      <w:bookmarkStart w:id="0" w:name="_Toc24925"/>
      <w:r>
        <w:rPr>
          <w:rFonts w:hint="eastAsia" w:ascii="仿宋_GB2312" w:hAnsi="仿宋_GB2312" w:cs="仿宋_GB2312"/>
          <w:snapToGrid/>
          <w:color w:val="auto"/>
          <w:kern w:val="2"/>
          <w:sz w:val="44"/>
          <w:szCs w:val="44"/>
          <w:highlight w:val="none"/>
          <w:lang w:eastAsia="zh-CN"/>
        </w:rPr>
        <w:t xml:space="preserve"> </w:t>
      </w:r>
      <w:r>
        <w:rPr>
          <w:rFonts w:hint="eastAsia" w:ascii="仿宋_GB2312" w:hAnsi="仿宋_GB2312" w:cs="仿宋_GB2312"/>
          <w:snapToGrid/>
          <w:color w:val="auto"/>
          <w:kern w:val="2"/>
          <w:sz w:val="44"/>
          <w:szCs w:val="44"/>
          <w:highlight w:val="none"/>
          <w:lang w:val="en-US" w:eastAsia="zh-CN"/>
        </w:rPr>
        <w:t>科研生产外协</w:t>
      </w:r>
      <w:r>
        <w:rPr>
          <w:rFonts w:hint="eastAsia" w:ascii="仿宋_GB2312" w:hAnsi="仿宋_GB2312" w:cs="仿宋_GB2312"/>
          <w:snapToGrid/>
          <w:color w:val="auto"/>
          <w:kern w:val="2"/>
          <w:sz w:val="44"/>
          <w:szCs w:val="44"/>
          <w:highlight w:val="none"/>
          <w:lang w:eastAsia="zh-CN"/>
        </w:rPr>
        <w:t>项目技术、服务及其他商务要求</w:t>
      </w:r>
      <w:bookmarkEnd w:id="0"/>
    </w:p>
    <w:p>
      <w:pPr>
        <w:spacing w:line="560" w:lineRule="exact"/>
        <w:ind w:firstLine="602" w:firstLineChars="200"/>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rPr>
        <w:t>特别注意：采购文件标注“★”号或“实质性要求”的为重要条款（含重要的商务和技术条款），文件对这些重要条款的任何负偏离、不响应都将导致其响应文件作无效处理。</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43" w:firstLineChars="200"/>
        <w:jc w:val="both"/>
        <w:textAlignment w:val="auto"/>
        <w:rPr>
          <w:rFonts w:hint="eastAsia" w:ascii="仿宋_GB2312" w:hAnsi="仿宋_GB2312" w:eastAsia="仿宋_GB2312" w:cs="仿宋_GB2312"/>
          <w:b/>
          <w:bCs w:val="0"/>
          <w:spacing w:val="0"/>
          <w:sz w:val="32"/>
          <w:szCs w:val="32"/>
          <w:lang w:val="en-US" w:eastAsia="zh-CN"/>
        </w:rPr>
      </w:pPr>
      <w:r>
        <w:rPr>
          <w:rFonts w:hint="eastAsia" w:ascii="仿宋_GB2312" w:hAnsi="仿宋_GB2312" w:eastAsia="仿宋_GB2312" w:cs="仿宋_GB2312"/>
          <w:b/>
          <w:bCs w:val="0"/>
          <w:spacing w:val="0"/>
          <w:sz w:val="32"/>
          <w:szCs w:val="32"/>
          <w:lang w:val="en-US" w:eastAsia="zh-CN"/>
        </w:rPr>
        <w:t>一、科研外协技术内容、技术要求与外协周期</w:t>
      </w:r>
      <w:r>
        <w:rPr>
          <w:rFonts w:hint="eastAsia" w:ascii="仿宋_GB2312" w:hAnsi="仿宋_GB2312" w:eastAsia="仿宋_GB2312" w:cs="仿宋_GB2312"/>
          <w:b/>
          <w:bCs/>
          <w:sz w:val="30"/>
          <w:szCs w:val="30"/>
          <w:highlight w:val="none"/>
        </w:rPr>
        <w:t>★</w:t>
      </w:r>
    </w:p>
    <w:p>
      <w:pPr>
        <w:pStyle w:val="1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napToGrid w:val="0"/>
          <w:color w:val="000000"/>
          <w:spacing w:val="-2"/>
          <w:kern w:val="0"/>
          <w:sz w:val="30"/>
          <w:szCs w:val="30"/>
          <w:lang w:val="en-US" w:eastAsia="zh-CN" w:bidi="ar-SA"/>
        </w:rPr>
      </w:pPr>
      <w:r>
        <w:rPr>
          <w:rFonts w:hint="eastAsia" w:ascii="仿宋_GB2312" w:hAnsi="仿宋_GB2312" w:eastAsia="仿宋_GB2312" w:cs="仿宋_GB2312"/>
          <w:snapToGrid w:val="0"/>
          <w:color w:val="000000"/>
          <w:spacing w:val="-2"/>
          <w:kern w:val="0"/>
          <w:sz w:val="30"/>
          <w:szCs w:val="30"/>
          <w:lang w:val="en-US" w:eastAsia="zh-CN" w:bidi="ar-SA"/>
        </w:rPr>
        <w:t>1.外协内容：</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00" w:firstLineChars="200"/>
        <w:jc w:val="both"/>
        <w:textAlignment w:val="auto"/>
        <w:rPr>
          <w:rFonts w:hint="eastAsia" w:ascii="仿宋_GB2312" w:hAnsi="仿宋_GB2312" w:eastAsia="仿宋_GB2312" w:cs="仿宋_GB2312"/>
          <w:b w:val="0"/>
          <w:snapToGrid w:val="0"/>
          <w:color w:val="000000"/>
          <w:spacing w:val="0"/>
          <w:kern w:val="0"/>
          <w:sz w:val="30"/>
          <w:szCs w:val="30"/>
          <w:highlight w:val="none"/>
          <w:lang w:val="en-US" w:eastAsia="zh-CN" w:bidi="ar-SA"/>
        </w:rPr>
      </w:pPr>
      <w:r>
        <w:rPr>
          <w:rFonts w:hint="eastAsia" w:ascii="仿宋_GB2312" w:hAnsi="仿宋_GB2312" w:eastAsia="仿宋_GB2312" w:cs="仿宋_GB2312"/>
          <w:b w:val="0"/>
          <w:snapToGrid w:val="0"/>
          <w:color w:val="000000"/>
          <w:spacing w:val="0"/>
          <w:kern w:val="0"/>
          <w:sz w:val="30"/>
          <w:szCs w:val="30"/>
          <w:highlight w:val="none"/>
          <w:lang w:val="en-US" w:eastAsia="zh-CN" w:bidi="ar-SA"/>
        </w:rPr>
        <w:t>完成14支大灵敏面平响应XRD探测器考核测试（包含阴极有效直径测试、探测器外径测试、储能电容测试、线性电流测试、阻抗匹配测试、上限工作电压测试、真空漏率测试）及时间分辨测试，负责提供专业的测试技术人员，提供测试所需的激光打靶装置、皮秒级激光器系统、配套的测试仪器、测试工装及辅料，并提供测试报告。</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00" w:firstLineChars="200"/>
        <w:jc w:val="both"/>
        <w:textAlignment w:val="auto"/>
        <w:rPr>
          <w:rFonts w:hint="default" w:ascii="仿宋_GB2312" w:hAnsi="仿宋_GB2312" w:eastAsia="仿宋_GB2312" w:cs="仿宋_GB2312"/>
          <w:b w:val="0"/>
          <w:snapToGrid w:val="0"/>
          <w:color w:val="000000"/>
          <w:spacing w:val="0"/>
          <w:kern w:val="0"/>
          <w:sz w:val="30"/>
          <w:szCs w:val="30"/>
          <w:highlight w:val="none"/>
          <w:lang w:val="en-US" w:eastAsia="zh-CN" w:bidi="ar-SA"/>
        </w:rPr>
      </w:pPr>
      <w:r>
        <w:rPr>
          <w:rFonts w:hint="eastAsia" w:ascii="仿宋_GB2312" w:hAnsi="仿宋_GB2312" w:eastAsia="仿宋_GB2312" w:cs="仿宋_GB2312"/>
          <w:b w:val="0"/>
          <w:snapToGrid w:val="0"/>
          <w:color w:val="000000"/>
          <w:spacing w:val="0"/>
          <w:kern w:val="0"/>
          <w:sz w:val="30"/>
          <w:szCs w:val="30"/>
          <w:highlight w:val="none"/>
          <w:lang w:val="en-US" w:eastAsia="zh-CN" w:bidi="ar-SA"/>
        </w:rPr>
        <w:t>（1）具体测试内容如下表所示：</w:t>
      </w:r>
    </w:p>
    <w:tbl>
      <w:tblPr>
        <w:tblStyle w:val="8"/>
        <w:tblW w:w="101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666"/>
        <w:gridCol w:w="2974"/>
        <w:gridCol w:w="3100"/>
        <w:gridCol w:w="900"/>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rPr>
              <w:t>测试项</w:t>
            </w:r>
            <w:r>
              <w:rPr>
                <w:rFonts w:hint="eastAsia" w:ascii="仿宋" w:hAnsi="仿宋" w:eastAsia="仿宋" w:cs="仿宋"/>
                <w:b/>
                <w:bCs/>
                <w:kern w:val="0"/>
                <w:sz w:val="24"/>
                <w:szCs w:val="24"/>
                <w:lang w:val="en-US" w:eastAsia="zh-CN"/>
              </w:rPr>
              <w:t>目</w:t>
            </w:r>
          </w:p>
        </w:tc>
        <w:tc>
          <w:tcPr>
            <w:tcW w:w="29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kern w:val="0"/>
                <w:sz w:val="24"/>
                <w:szCs w:val="24"/>
              </w:rPr>
            </w:pPr>
            <w:r>
              <w:rPr>
                <w:rFonts w:hint="eastAsia" w:ascii="仿宋" w:hAnsi="仿宋" w:eastAsia="仿宋" w:cs="仿宋"/>
                <w:b/>
                <w:bCs/>
                <w:kern w:val="0"/>
                <w:sz w:val="24"/>
                <w:szCs w:val="24"/>
              </w:rPr>
              <w:t>测试用具</w:t>
            </w:r>
          </w:p>
        </w:tc>
        <w:tc>
          <w:tcPr>
            <w:tcW w:w="31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kern w:val="0"/>
                <w:sz w:val="24"/>
                <w:szCs w:val="24"/>
              </w:rPr>
            </w:pPr>
            <w:r>
              <w:rPr>
                <w:rFonts w:hint="eastAsia" w:ascii="仿宋" w:hAnsi="仿宋" w:eastAsia="仿宋" w:cs="仿宋"/>
                <w:b/>
                <w:bCs/>
                <w:kern w:val="0"/>
                <w:sz w:val="24"/>
                <w:szCs w:val="24"/>
              </w:rPr>
              <w:t>测试要求</w:t>
            </w: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kern w:val="0"/>
                <w:sz w:val="24"/>
                <w:szCs w:val="24"/>
              </w:rPr>
            </w:pPr>
            <w:r>
              <w:rPr>
                <w:rFonts w:hint="eastAsia" w:ascii="仿宋" w:hAnsi="仿宋" w:eastAsia="仿宋" w:cs="仿宋"/>
                <w:b/>
                <w:bCs/>
                <w:kern w:val="0"/>
                <w:sz w:val="24"/>
                <w:szCs w:val="24"/>
              </w:rPr>
              <w:t>数量</w:t>
            </w:r>
          </w:p>
        </w:tc>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kern w:val="0"/>
                <w:sz w:val="24"/>
                <w:szCs w:val="24"/>
              </w:rPr>
            </w:pPr>
            <w:r>
              <w:rPr>
                <w:rFonts w:hint="eastAsia" w:ascii="仿宋" w:hAnsi="仿宋" w:eastAsia="仿宋" w:cs="仿宋"/>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阴极有效直径</w:t>
            </w:r>
          </w:p>
        </w:tc>
        <w:tc>
          <w:tcPr>
            <w:tcW w:w="29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高精度游标卡尺</w:t>
            </w:r>
          </w:p>
        </w:tc>
        <w:tc>
          <w:tcPr>
            <w:tcW w:w="31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量程0-200mm，精度0.02mm</w:t>
            </w: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14</w:t>
            </w:r>
          </w:p>
        </w:tc>
        <w:tc>
          <w:tcPr>
            <w:tcW w:w="710"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需包含测试工装。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探测器外径</w:t>
            </w:r>
          </w:p>
        </w:tc>
        <w:tc>
          <w:tcPr>
            <w:tcW w:w="29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高精度游标卡尺</w:t>
            </w:r>
          </w:p>
        </w:tc>
        <w:tc>
          <w:tcPr>
            <w:tcW w:w="31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量程0-200mm，精度0.02mm</w:t>
            </w: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14</w:t>
            </w:r>
          </w:p>
        </w:tc>
        <w:tc>
          <w:tcPr>
            <w:tcW w:w="71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储能电容</w:t>
            </w:r>
          </w:p>
        </w:tc>
        <w:tc>
          <w:tcPr>
            <w:tcW w:w="29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数字电桥</w:t>
            </w:r>
          </w:p>
        </w:tc>
        <w:tc>
          <w:tcPr>
            <w:tcW w:w="31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电容测量范围0-20Pf，精度0.01nF</w:t>
            </w: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14</w:t>
            </w:r>
          </w:p>
        </w:tc>
        <w:tc>
          <w:tcPr>
            <w:tcW w:w="71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线性电流</w:t>
            </w:r>
          </w:p>
        </w:tc>
        <w:tc>
          <w:tcPr>
            <w:tcW w:w="29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激光打靶装置、直流高压电源、微波电缆、高带宽示波器、标准探测器（含中性衰减片）</w:t>
            </w:r>
          </w:p>
        </w:tc>
        <w:tc>
          <w:tcPr>
            <w:tcW w:w="31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完成XRD探测器在激光装置靶腔的X光辐射源测试（抽样测试）</w:t>
            </w: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71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输出阻抗匹配</w:t>
            </w:r>
          </w:p>
        </w:tc>
        <w:tc>
          <w:tcPr>
            <w:tcW w:w="29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激光打靶装置、直流高压电源、微波电缆、高带宽示波器</w:t>
            </w:r>
          </w:p>
        </w:tc>
        <w:tc>
          <w:tcPr>
            <w:tcW w:w="31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完成XRD探测器在激光装置打靶时电信号测量（抽样测试）</w:t>
            </w: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71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上限工作电压</w:t>
            </w:r>
          </w:p>
        </w:tc>
        <w:tc>
          <w:tcPr>
            <w:tcW w:w="29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皮秒级脉冲激光装置、直流高压电源、微波电缆、高带宽示波器</w:t>
            </w:r>
          </w:p>
        </w:tc>
        <w:tc>
          <w:tcPr>
            <w:tcW w:w="31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完成XRD探测器正常工作时的上限工作电压测试</w:t>
            </w: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14</w:t>
            </w:r>
          </w:p>
        </w:tc>
        <w:tc>
          <w:tcPr>
            <w:tcW w:w="71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探测器真空漏率</w:t>
            </w:r>
          </w:p>
        </w:tc>
        <w:tc>
          <w:tcPr>
            <w:tcW w:w="29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真空腔室、检漏仪</w:t>
            </w:r>
          </w:p>
        </w:tc>
        <w:tc>
          <w:tcPr>
            <w:tcW w:w="31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完成XRD探测器真空漏率筛选实验及指标测试</w:t>
            </w: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14-20</w:t>
            </w:r>
          </w:p>
        </w:tc>
        <w:tc>
          <w:tcPr>
            <w:tcW w:w="71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探测器时间分辨</w:t>
            </w:r>
          </w:p>
        </w:tc>
        <w:tc>
          <w:tcPr>
            <w:tcW w:w="29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皮秒级脉冲激光装置、直流高压电源、微波电缆、高带宽示波器</w:t>
            </w:r>
          </w:p>
        </w:tc>
        <w:tc>
          <w:tcPr>
            <w:tcW w:w="31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完成探测器在皮秒级脉冲激光照射下脉冲电信号测量</w:t>
            </w: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14</w:t>
            </w:r>
          </w:p>
        </w:tc>
        <w:tc>
          <w:tcPr>
            <w:tcW w:w="71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16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中性衰减滤片直径</w:t>
            </w:r>
          </w:p>
        </w:tc>
        <w:tc>
          <w:tcPr>
            <w:tcW w:w="297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高精度游标卡尺</w:t>
            </w:r>
          </w:p>
        </w:tc>
        <w:tc>
          <w:tcPr>
            <w:tcW w:w="31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量程0-200mm，精度0.02mm</w:t>
            </w: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14</w:t>
            </w:r>
          </w:p>
        </w:tc>
        <w:tc>
          <w:tcPr>
            <w:tcW w:w="71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kern w:val="0"/>
                <w:sz w:val="24"/>
                <w:szCs w:val="24"/>
              </w:rPr>
            </w:pPr>
          </w:p>
        </w:tc>
      </w:tr>
    </w:tbl>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00" w:firstLineChars="200"/>
        <w:jc w:val="both"/>
        <w:textAlignment w:val="auto"/>
        <w:rPr>
          <w:rFonts w:hint="eastAsia" w:ascii="仿宋_GB2312" w:hAnsi="仿宋_GB2312" w:eastAsia="仿宋_GB2312" w:cs="仿宋_GB2312"/>
          <w:b w:val="0"/>
          <w:snapToGrid w:val="0"/>
          <w:color w:val="000000"/>
          <w:spacing w:val="0"/>
          <w:kern w:val="0"/>
          <w:sz w:val="30"/>
          <w:szCs w:val="30"/>
          <w:highlight w:val="none"/>
          <w:lang w:val="en-US" w:eastAsia="zh-CN" w:bidi="ar-SA"/>
        </w:rPr>
      </w:pPr>
      <w:r>
        <w:rPr>
          <w:rFonts w:hint="eastAsia" w:ascii="仿宋_GB2312" w:hAnsi="仿宋_GB2312" w:eastAsia="仿宋_GB2312" w:cs="仿宋_GB2312"/>
          <w:b w:val="0"/>
          <w:snapToGrid w:val="0"/>
          <w:color w:val="000000"/>
          <w:spacing w:val="0"/>
          <w:kern w:val="0"/>
          <w:sz w:val="30"/>
          <w:szCs w:val="30"/>
          <w:highlight w:val="none"/>
          <w:lang w:val="en-US" w:eastAsia="zh-CN" w:bidi="ar-SA"/>
        </w:rPr>
        <w:t>（2）测试设备要求：</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00" w:firstLineChars="200"/>
        <w:jc w:val="both"/>
        <w:textAlignment w:val="auto"/>
        <w:rPr>
          <w:rFonts w:hint="eastAsia" w:ascii="仿宋_GB2312" w:hAnsi="仿宋_GB2312" w:eastAsia="仿宋_GB2312" w:cs="仿宋_GB2312"/>
          <w:b w:val="0"/>
          <w:snapToGrid w:val="0"/>
          <w:color w:val="000000"/>
          <w:spacing w:val="0"/>
          <w:kern w:val="0"/>
          <w:sz w:val="30"/>
          <w:szCs w:val="30"/>
          <w:highlight w:val="none"/>
          <w:lang w:val="en-US" w:eastAsia="zh-CN" w:bidi="ar-SA"/>
        </w:rPr>
      </w:pPr>
      <w:r>
        <w:rPr>
          <w:rFonts w:hint="eastAsia" w:ascii="仿宋_GB2312" w:hAnsi="仿宋_GB2312" w:eastAsia="仿宋_GB2312" w:cs="仿宋_GB2312"/>
          <w:b w:val="0"/>
          <w:snapToGrid w:val="0"/>
          <w:color w:val="000000"/>
          <w:spacing w:val="0"/>
          <w:kern w:val="0"/>
          <w:sz w:val="30"/>
          <w:szCs w:val="30"/>
          <w:highlight w:val="none"/>
          <w:lang w:val="en-US" w:eastAsia="zh-CN" w:bidi="ar-SA"/>
        </w:rPr>
        <w:t>a.高精度游标卡尺：</w:t>
      </w:r>
      <w:bookmarkStart w:id="1" w:name="_Hlk213750598"/>
      <w:r>
        <w:rPr>
          <w:rFonts w:hint="eastAsia" w:ascii="仿宋_GB2312" w:hAnsi="仿宋_GB2312" w:eastAsia="仿宋_GB2312" w:cs="仿宋_GB2312"/>
          <w:b w:val="0"/>
          <w:snapToGrid w:val="0"/>
          <w:color w:val="000000"/>
          <w:spacing w:val="0"/>
          <w:kern w:val="0"/>
          <w:sz w:val="30"/>
          <w:szCs w:val="30"/>
          <w:highlight w:val="none"/>
          <w:lang w:val="en-US" w:eastAsia="zh-CN" w:bidi="ar-SA"/>
        </w:rPr>
        <w:t>量程0-200mm，精度0.02mm；</w:t>
      </w:r>
      <w:bookmarkEnd w:id="1"/>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00" w:firstLineChars="200"/>
        <w:jc w:val="both"/>
        <w:textAlignment w:val="auto"/>
        <w:rPr>
          <w:rFonts w:hint="eastAsia" w:ascii="仿宋_GB2312" w:hAnsi="仿宋_GB2312" w:eastAsia="仿宋_GB2312" w:cs="仿宋_GB2312"/>
          <w:b w:val="0"/>
          <w:snapToGrid w:val="0"/>
          <w:color w:val="000000"/>
          <w:spacing w:val="0"/>
          <w:kern w:val="0"/>
          <w:sz w:val="30"/>
          <w:szCs w:val="30"/>
          <w:highlight w:val="none"/>
          <w:lang w:val="en-US" w:eastAsia="zh-CN" w:bidi="ar-SA"/>
        </w:rPr>
      </w:pPr>
      <w:r>
        <w:rPr>
          <w:rFonts w:hint="eastAsia" w:ascii="仿宋_GB2312" w:hAnsi="仿宋_GB2312" w:eastAsia="仿宋_GB2312" w:cs="仿宋_GB2312"/>
          <w:b w:val="0"/>
          <w:snapToGrid w:val="0"/>
          <w:color w:val="000000"/>
          <w:spacing w:val="0"/>
          <w:kern w:val="0"/>
          <w:sz w:val="30"/>
          <w:szCs w:val="30"/>
          <w:highlight w:val="none"/>
          <w:lang w:val="en-US" w:eastAsia="zh-CN" w:bidi="ar-SA"/>
        </w:rPr>
        <w:t>b.LCR手持数字电桥：电容测量范围0-20Pf，精度0.01nF；</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00" w:firstLineChars="200"/>
        <w:jc w:val="both"/>
        <w:textAlignment w:val="auto"/>
        <w:rPr>
          <w:rFonts w:hint="eastAsia" w:ascii="仿宋_GB2312" w:hAnsi="仿宋_GB2312" w:eastAsia="仿宋_GB2312" w:cs="仿宋_GB2312"/>
          <w:b w:val="0"/>
          <w:snapToGrid w:val="0"/>
          <w:color w:val="000000"/>
          <w:spacing w:val="0"/>
          <w:kern w:val="0"/>
          <w:sz w:val="30"/>
          <w:szCs w:val="30"/>
          <w:highlight w:val="none"/>
          <w:lang w:val="en-US" w:eastAsia="zh-CN" w:bidi="ar-SA"/>
        </w:rPr>
      </w:pPr>
      <w:r>
        <w:rPr>
          <w:rFonts w:hint="eastAsia" w:ascii="仿宋_GB2312" w:hAnsi="仿宋_GB2312" w:eastAsia="仿宋_GB2312" w:cs="仿宋_GB2312"/>
          <w:b w:val="0"/>
          <w:snapToGrid w:val="0"/>
          <w:color w:val="000000"/>
          <w:spacing w:val="0"/>
          <w:kern w:val="0"/>
          <w:sz w:val="30"/>
          <w:szCs w:val="30"/>
          <w:highlight w:val="none"/>
          <w:lang w:val="en-US" w:eastAsia="zh-CN" w:bidi="ar-SA"/>
        </w:rPr>
        <w:t>c.直流高压电源：可产生3000V以上的直流高压；</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00" w:firstLineChars="200"/>
        <w:jc w:val="both"/>
        <w:textAlignment w:val="auto"/>
        <w:rPr>
          <w:rFonts w:hint="eastAsia" w:ascii="仿宋_GB2312" w:hAnsi="仿宋_GB2312" w:eastAsia="仿宋_GB2312" w:cs="仿宋_GB2312"/>
          <w:b w:val="0"/>
          <w:snapToGrid w:val="0"/>
          <w:color w:val="000000"/>
          <w:spacing w:val="0"/>
          <w:kern w:val="0"/>
          <w:sz w:val="30"/>
          <w:szCs w:val="30"/>
          <w:highlight w:val="none"/>
          <w:lang w:val="en-US" w:eastAsia="zh-CN" w:bidi="ar-SA"/>
        </w:rPr>
      </w:pPr>
      <w:r>
        <w:rPr>
          <w:rFonts w:hint="eastAsia" w:ascii="仿宋_GB2312" w:hAnsi="仿宋_GB2312" w:eastAsia="仿宋_GB2312" w:cs="仿宋_GB2312"/>
          <w:b w:val="0"/>
          <w:snapToGrid w:val="0"/>
          <w:color w:val="000000"/>
          <w:spacing w:val="0"/>
          <w:kern w:val="0"/>
          <w:sz w:val="30"/>
          <w:szCs w:val="30"/>
          <w:highlight w:val="none"/>
          <w:lang w:val="en-US" w:eastAsia="zh-CN" w:bidi="ar-SA"/>
        </w:rPr>
        <w:t>d.皮秒级脉冲激光器及配套装置：可产生15ps的脉冲激光；</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00" w:firstLineChars="200"/>
        <w:jc w:val="both"/>
        <w:textAlignment w:val="auto"/>
        <w:rPr>
          <w:rFonts w:hint="eastAsia" w:ascii="仿宋_GB2312" w:hAnsi="仿宋_GB2312" w:eastAsia="仿宋_GB2312" w:cs="仿宋_GB2312"/>
          <w:b w:val="0"/>
          <w:snapToGrid w:val="0"/>
          <w:color w:val="000000"/>
          <w:spacing w:val="0"/>
          <w:kern w:val="0"/>
          <w:sz w:val="30"/>
          <w:szCs w:val="30"/>
          <w:highlight w:val="none"/>
          <w:lang w:val="en-US" w:eastAsia="zh-CN" w:bidi="ar-SA"/>
        </w:rPr>
      </w:pPr>
      <w:bookmarkStart w:id="2" w:name="_Hlk213750831"/>
      <w:r>
        <w:rPr>
          <w:rFonts w:hint="eastAsia" w:ascii="仿宋_GB2312" w:hAnsi="仿宋_GB2312" w:eastAsia="仿宋_GB2312" w:cs="仿宋_GB2312"/>
          <w:b w:val="0"/>
          <w:snapToGrid w:val="0"/>
          <w:color w:val="000000"/>
          <w:spacing w:val="0"/>
          <w:kern w:val="0"/>
          <w:sz w:val="30"/>
          <w:szCs w:val="30"/>
          <w:highlight w:val="none"/>
          <w:lang w:val="en-US" w:eastAsia="zh-CN" w:bidi="ar-SA"/>
        </w:rPr>
        <w:t>e.激光打靶装置：可产生高强度的X光辐射源，脉冲能量可达10000J，波长覆盖353nm，脉冲宽度可达1ns；</w:t>
      </w:r>
    </w:p>
    <w:bookmarkEnd w:id="2"/>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00" w:firstLineChars="200"/>
        <w:jc w:val="both"/>
        <w:textAlignment w:val="auto"/>
        <w:rPr>
          <w:rFonts w:hint="eastAsia" w:ascii="仿宋_GB2312" w:hAnsi="仿宋_GB2312" w:eastAsia="仿宋_GB2312" w:cs="仿宋_GB2312"/>
          <w:b w:val="0"/>
          <w:snapToGrid w:val="0"/>
          <w:color w:val="000000"/>
          <w:spacing w:val="0"/>
          <w:kern w:val="0"/>
          <w:sz w:val="30"/>
          <w:szCs w:val="30"/>
          <w:highlight w:val="none"/>
          <w:lang w:val="en-US" w:eastAsia="zh-CN" w:bidi="ar-SA"/>
        </w:rPr>
      </w:pPr>
      <w:bookmarkStart w:id="3" w:name="OLE_LINK9"/>
      <w:r>
        <w:rPr>
          <w:rFonts w:hint="eastAsia" w:ascii="仿宋_GB2312" w:hAnsi="仿宋_GB2312" w:eastAsia="仿宋_GB2312" w:cs="仿宋_GB2312"/>
          <w:b w:val="0"/>
          <w:snapToGrid w:val="0"/>
          <w:color w:val="000000"/>
          <w:spacing w:val="0"/>
          <w:kern w:val="0"/>
          <w:sz w:val="30"/>
          <w:szCs w:val="30"/>
          <w:highlight w:val="none"/>
          <w:lang w:val="en-US" w:eastAsia="zh-CN" w:bidi="ar-SA"/>
        </w:rPr>
        <w:t>f.真空系统及检漏仪</w:t>
      </w:r>
      <w:bookmarkEnd w:id="3"/>
      <w:r>
        <w:rPr>
          <w:rFonts w:hint="eastAsia" w:ascii="仿宋_GB2312" w:hAnsi="仿宋_GB2312" w:eastAsia="仿宋_GB2312" w:cs="仿宋_GB2312"/>
          <w:b w:val="0"/>
          <w:snapToGrid w:val="0"/>
          <w:color w:val="000000"/>
          <w:spacing w:val="0"/>
          <w:kern w:val="0"/>
          <w:sz w:val="30"/>
          <w:szCs w:val="30"/>
          <w:highlight w:val="none"/>
          <w:lang w:val="en-US" w:eastAsia="zh-CN" w:bidi="ar-SA"/>
        </w:rPr>
        <w:t>：真空度可达1×10-2Pa，可采用检漏仪进行真空检漏；</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00" w:firstLineChars="200"/>
        <w:jc w:val="both"/>
        <w:textAlignment w:val="auto"/>
        <w:rPr>
          <w:rFonts w:hint="eastAsia" w:ascii="仿宋_GB2312" w:hAnsi="仿宋_GB2312" w:eastAsia="仿宋_GB2312" w:cs="仿宋_GB2312"/>
          <w:b w:val="0"/>
          <w:snapToGrid w:val="0"/>
          <w:color w:val="000000"/>
          <w:spacing w:val="0"/>
          <w:kern w:val="0"/>
          <w:sz w:val="30"/>
          <w:szCs w:val="30"/>
          <w:highlight w:val="none"/>
          <w:lang w:val="en-US" w:eastAsia="zh-CN" w:bidi="ar-SA"/>
        </w:rPr>
      </w:pPr>
      <w:r>
        <w:rPr>
          <w:rFonts w:hint="eastAsia" w:ascii="仿宋_GB2312" w:hAnsi="仿宋_GB2312" w:eastAsia="仿宋_GB2312" w:cs="仿宋_GB2312"/>
          <w:b w:val="0"/>
          <w:snapToGrid w:val="0"/>
          <w:color w:val="000000"/>
          <w:spacing w:val="0"/>
          <w:kern w:val="0"/>
          <w:sz w:val="30"/>
          <w:szCs w:val="30"/>
          <w:highlight w:val="none"/>
          <w:lang w:val="en-US" w:eastAsia="zh-CN" w:bidi="ar-SA"/>
        </w:rPr>
        <w:t>g.高带宽示波器及配套电缆：带宽可达8G，采样率可达40Gs/s。</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00" w:firstLineChars="200"/>
        <w:jc w:val="both"/>
        <w:textAlignment w:val="auto"/>
        <w:rPr>
          <w:rFonts w:hint="eastAsia" w:ascii="仿宋_GB2312" w:hAnsi="仿宋_GB2312" w:eastAsia="仿宋_GB2312" w:cs="仿宋_GB2312"/>
          <w:b w:val="0"/>
          <w:snapToGrid w:val="0"/>
          <w:color w:val="000000"/>
          <w:spacing w:val="0"/>
          <w:kern w:val="0"/>
          <w:sz w:val="30"/>
          <w:szCs w:val="30"/>
          <w:highlight w:val="none"/>
          <w:lang w:val="en-US" w:eastAsia="zh-CN" w:bidi="ar-SA"/>
        </w:rPr>
      </w:pPr>
      <w:r>
        <w:rPr>
          <w:rFonts w:hint="eastAsia" w:ascii="仿宋_GB2312" w:hAnsi="仿宋_GB2312" w:eastAsia="仿宋_GB2312" w:cs="仿宋_GB2312"/>
          <w:b w:val="0"/>
          <w:snapToGrid w:val="0"/>
          <w:color w:val="000000"/>
          <w:spacing w:val="0"/>
          <w:kern w:val="0"/>
          <w:sz w:val="30"/>
          <w:szCs w:val="30"/>
          <w:highlight w:val="none"/>
          <w:lang w:val="en-US" w:eastAsia="zh-CN" w:bidi="ar-SA"/>
        </w:rPr>
        <w:t>2.交付内容及验收要求</w:t>
      </w:r>
    </w:p>
    <w:tbl>
      <w:tblPr>
        <w:tblStyle w:val="8"/>
        <w:tblW w:w="91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025"/>
        <w:gridCol w:w="3892"/>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 w:type="dxa"/>
            <w:vAlign w:val="center"/>
          </w:tcPr>
          <w:p>
            <w:pPr>
              <w:widowControl w:val="0"/>
              <w:spacing w:line="360" w:lineRule="exact"/>
              <w:jc w:val="center"/>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2025" w:type="dxa"/>
            <w:vAlign w:val="center"/>
          </w:tcPr>
          <w:p>
            <w:pPr>
              <w:widowControl w:val="0"/>
              <w:spacing w:line="360" w:lineRule="exact"/>
              <w:jc w:val="center"/>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交付内容</w:t>
            </w:r>
          </w:p>
        </w:tc>
        <w:tc>
          <w:tcPr>
            <w:tcW w:w="3892" w:type="dxa"/>
            <w:vAlign w:val="center"/>
          </w:tcPr>
          <w:p>
            <w:pPr>
              <w:widowControl w:val="0"/>
              <w:spacing w:line="360" w:lineRule="exact"/>
              <w:jc w:val="center"/>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验收要求</w:t>
            </w:r>
          </w:p>
        </w:tc>
        <w:tc>
          <w:tcPr>
            <w:tcW w:w="2370" w:type="dxa"/>
            <w:vAlign w:val="center"/>
          </w:tcPr>
          <w:p>
            <w:pPr>
              <w:widowControl w:val="0"/>
              <w:spacing w:line="360" w:lineRule="exact"/>
              <w:jc w:val="center"/>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验收方法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858" w:type="dxa"/>
            <w:vAlign w:val="center"/>
          </w:tcPr>
          <w:p>
            <w:pPr>
              <w:widowControl w:val="0"/>
              <w:spacing w:line="360" w:lineRule="exact"/>
              <w:jc w:val="center"/>
              <w:outlineLvl w:val="1"/>
              <w:rPr>
                <w:rFonts w:hint="eastAsia" w:ascii="仿宋_GB2312" w:hAnsi="仿宋_GB2312" w:eastAsia="仿宋_GB2312" w:cs="仿宋_GB2312"/>
                <w:b/>
                <w:bCs/>
                <w:sz w:val="28"/>
                <w:szCs w:val="28"/>
              </w:rPr>
            </w:pPr>
            <w:bookmarkStart w:id="4" w:name="_Hlk211007024"/>
            <w:r>
              <w:rPr>
                <w:rFonts w:hint="eastAsia" w:ascii="仿宋_GB2312" w:hAnsi="仿宋_GB2312" w:eastAsia="仿宋_GB2312" w:cs="仿宋_GB2312"/>
                <w:b/>
                <w:bCs/>
                <w:sz w:val="28"/>
                <w:szCs w:val="28"/>
              </w:rPr>
              <w:t>1</w:t>
            </w:r>
          </w:p>
        </w:tc>
        <w:tc>
          <w:tcPr>
            <w:tcW w:w="2025" w:type="dxa"/>
            <w:vAlign w:val="center"/>
          </w:tcPr>
          <w:p>
            <w:pPr>
              <w:widowControl w:val="0"/>
              <w:spacing w:line="36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测试大纲</w:t>
            </w:r>
          </w:p>
        </w:tc>
        <w:tc>
          <w:tcPr>
            <w:tcW w:w="3892" w:type="dxa"/>
            <w:vAlign w:val="center"/>
          </w:tcPr>
          <w:p>
            <w:pPr>
              <w:widowControl w:val="0"/>
              <w:spacing w:line="360" w:lineRule="exact"/>
              <w:outlineLvl w:val="1"/>
              <w:rPr>
                <w:rFonts w:hint="eastAsia" w:ascii="仿宋_GB2312" w:hAnsi="仿宋_GB2312" w:eastAsia="仿宋_GB2312" w:cs="仿宋_GB2312"/>
                <w:sz w:val="28"/>
                <w:szCs w:val="28"/>
              </w:rPr>
            </w:pPr>
            <w:bookmarkStart w:id="5" w:name="OLE_LINK7"/>
            <w:r>
              <w:rPr>
                <w:rFonts w:hint="eastAsia" w:ascii="仿宋_GB2312" w:hAnsi="仿宋_GB2312" w:eastAsia="仿宋_GB2312" w:cs="仿宋_GB2312"/>
                <w:sz w:val="28"/>
                <w:szCs w:val="28"/>
              </w:rPr>
              <w:t>合同签订后10天内完成测试大纲评审会签，提供纸质版及电子版材料</w:t>
            </w:r>
            <w:bookmarkEnd w:id="5"/>
          </w:p>
        </w:tc>
        <w:tc>
          <w:tcPr>
            <w:tcW w:w="2370" w:type="dxa"/>
            <w:vAlign w:val="center"/>
          </w:tcPr>
          <w:p>
            <w:pPr>
              <w:widowControl w:val="0"/>
              <w:spacing w:line="360" w:lineRule="exact"/>
              <w:jc w:val="center"/>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评审验收</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858" w:type="dxa"/>
            <w:vAlign w:val="center"/>
          </w:tcPr>
          <w:p>
            <w:pPr>
              <w:widowControl w:val="0"/>
              <w:spacing w:line="360" w:lineRule="exact"/>
              <w:jc w:val="center"/>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p>
        </w:tc>
        <w:tc>
          <w:tcPr>
            <w:tcW w:w="2025" w:type="dxa"/>
            <w:vAlign w:val="center"/>
          </w:tcPr>
          <w:p>
            <w:pPr>
              <w:widowControl w:val="0"/>
              <w:spacing w:line="360" w:lineRule="exact"/>
              <w:jc w:val="center"/>
              <w:outlineLvl w:val="1"/>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测试报告</w:t>
            </w:r>
          </w:p>
        </w:tc>
        <w:tc>
          <w:tcPr>
            <w:tcW w:w="3892" w:type="dxa"/>
            <w:vAlign w:val="center"/>
          </w:tcPr>
          <w:p>
            <w:pPr>
              <w:widowControl w:val="0"/>
              <w:spacing w:line="360" w:lineRule="exact"/>
              <w:outlineLvl w:val="1"/>
              <w:rPr>
                <w:rFonts w:ascii="仿宋_GB2312" w:hAnsi="Times New Roman" w:eastAsia="仿宋_GB2312" w:cs="Times New Roman"/>
                <w:kern w:val="0"/>
                <w:sz w:val="28"/>
                <w:szCs w:val="28"/>
              </w:rPr>
            </w:pPr>
            <w:r>
              <w:rPr>
                <w:rFonts w:hint="eastAsia" w:ascii="仿宋_GB2312" w:hAnsi="仿宋_GB2312" w:eastAsia="仿宋_GB2312" w:cs="仿宋_GB2312"/>
                <w:sz w:val="28"/>
                <w:szCs w:val="28"/>
              </w:rPr>
              <w:t>提供纸质版及电子版材料</w:t>
            </w:r>
          </w:p>
        </w:tc>
        <w:tc>
          <w:tcPr>
            <w:tcW w:w="2370" w:type="dxa"/>
            <w:vAlign w:val="center"/>
          </w:tcPr>
          <w:p>
            <w:pPr>
              <w:widowControl w:val="0"/>
              <w:tabs>
                <w:tab w:val="right" w:pos="2154"/>
              </w:tabs>
              <w:spacing w:line="360" w:lineRule="exact"/>
              <w:jc w:val="center"/>
              <w:outlineLvl w:val="1"/>
              <w:rPr>
                <w:rFonts w:hint="eastAsia" w:ascii="仿宋_GB2312" w:hAnsi="Times New Roman" w:eastAsia="仿宋_GB2312" w:cs="Times New Roman"/>
                <w:kern w:val="0"/>
                <w:sz w:val="28"/>
                <w:szCs w:val="28"/>
                <w:lang w:eastAsia="zh-CN"/>
              </w:rPr>
            </w:pPr>
            <w:r>
              <w:rPr>
                <w:rFonts w:hint="eastAsia" w:ascii="仿宋_GB2312" w:hAnsi="仿宋_GB2312" w:eastAsia="仿宋_GB2312" w:cs="仿宋_GB2312"/>
                <w:sz w:val="28"/>
                <w:szCs w:val="28"/>
              </w:rPr>
              <w:t>评审验收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858" w:type="dxa"/>
            <w:vAlign w:val="center"/>
          </w:tcPr>
          <w:p>
            <w:pPr>
              <w:widowControl w:val="0"/>
              <w:spacing w:line="360" w:lineRule="exact"/>
              <w:jc w:val="center"/>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w:t>
            </w:r>
          </w:p>
        </w:tc>
        <w:tc>
          <w:tcPr>
            <w:tcW w:w="2025" w:type="dxa"/>
            <w:vAlign w:val="center"/>
          </w:tcPr>
          <w:p>
            <w:pPr>
              <w:widowControl w:val="0"/>
              <w:spacing w:line="360" w:lineRule="exact"/>
              <w:jc w:val="center"/>
              <w:outlineLvl w:val="1"/>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详细测试记录</w:t>
            </w:r>
          </w:p>
        </w:tc>
        <w:tc>
          <w:tcPr>
            <w:tcW w:w="3892" w:type="dxa"/>
            <w:vAlign w:val="center"/>
          </w:tcPr>
          <w:p>
            <w:pPr>
              <w:widowControl w:val="0"/>
              <w:spacing w:line="360" w:lineRule="exact"/>
              <w:outlineLvl w:val="1"/>
              <w:rPr>
                <w:rFonts w:ascii="仿宋_GB2312" w:hAnsi="Times New Roman" w:eastAsia="仿宋_GB2312" w:cs="Times New Roman"/>
                <w:kern w:val="0"/>
                <w:sz w:val="28"/>
                <w:szCs w:val="28"/>
              </w:rPr>
            </w:pPr>
            <w:r>
              <w:rPr>
                <w:rFonts w:hint="eastAsia" w:ascii="仿宋_GB2312" w:hAnsi="仿宋_GB2312" w:eastAsia="仿宋_GB2312" w:cs="仿宋_GB2312"/>
                <w:sz w:val="28"/>
                <w:szCs w:val="28"/>
              </w:rPr>
              <w:t>提供纸质版及电子版材料</w:t>
            </w:r>
          </w:p>
        </w:tc>
        <w:tc>
          <w:tcPr>
            <w:tcW w:w="2370" w:type="dxa"/>
            <w:vAlign w:val="center"/>
          </w:tcPr>
          <w:p>
            <w:pPr>
              <w:widowControl w:val="0"/>
              <w:spacing w:line="360" w:lineRule="exact"/>
              <w:jc w:val="center"/>
              <w:outlineLvl w:val="1"/>
              <w:rPr>
                <w:rFonts w:ascii="仿宋_GB2312" w:hAnsi="Times New Roman" w:eastAsia="仿宋_GB2312" w:cs="Times New Roman"/>
                <w:kern w:val="0"/>
                <w:sz w:val="28"/>
                <w:szCs w:val="28"/>
              </w:rPr>
            </w:pPr>
            <w:r>
              <w:rPr>
                <w:rFonts w:hint="eastAsia" w:ascii="仿宋_GB2312" w:hAnsi="仿宋_GB2312" w:eastAsia="仿宋_GB2312" w:cs="仿宋_GB2312"/>
                <w:sz w:val="28"/>
                <w:szCs w:val="28"/>
              </w:rPr>
              <w:t>评审验收</w:t>
            </w:r>
          </w:p>
        </w:tc>
      </w:tr>
    </w:tbl>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43" w:firstLineChars="200"/>
        <w:jc w:val="both"/>
        <w:textAlignment w:val="auto"/>
        <w:rPr>
          <w:rFonts w:hint="eastAsia" w:ascii="仿宋_GB2312" w:hAnsi="仿宋_GB2312" w:eastAsia="仿宋_GB2312" w:cs="仿宋_GB2312"/>
          <w:b/>
          <w:bCs w:val="0"/>
          <w:spacing w:val="0"/>
          <w:sz w:val="32"/>
          <w:szCs w:val="32"/>
          <w:highlight w:val="none"/>
          <w:lang w:val="en-US" w:eastAsia="zh-CN"/>
        </w:rPr>
      </w:pPr>
      <w:r>
        <w:rPr>
          <w:rFonts w:hint="eastAsia" w:ascii="仿宋_GB2312" w:hAnsi="仿宋_GB2312" w:eastAsia="仿宋_GB2312" w:cs="仿宋_GB2312"/>
          <w:b/>
          <w:bCs w:val="0"/>
          <w:spacing w:val="0"/>
          <w:sz w:val="32"/>
          <w:szCs w:val="32"/>
          <w:highlight w:val="none"/>
          <w:lang w:val="en-US" w:eastAsia="zh-CN"/>
        </w:rPr>
        <w:t>二、付款方式</w:t>
      </w:r>
      <w:r>
        <w:rPr>
          <w:rFonts w:hint="eastAsia" w:ascii="仿宋_GB2312" w:hAnsi="仿宋_GB2312" w:eastAsia="仿宋_GB2312" w:cs="仿宋_GB2312"/>
          <w:b/>
          <w:bCs/>
          <w:sz w:val="30"/>
          <w:szCs w:val="30"/>
          <w:highlight w:val="none"/>
        </w:rPr>
        <w:t>★</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00" w:firstLineChars="200"/>
        <w:jc w:val="both"/>
        <w:textAlignment w:val="auto"/>
        <w:rPr>
          <w:rFonts w:hint="eastAsia" w:ascii="仿宋_GB2312" w:hAnsi="仿宋_GB2312" w:eastAsia="仿宋_GB2312" w:cs="仿宋_GB2312"/>
          <w:b w:val="0"/>
          <w:snapToGrid w:val="0"/>
          <w:color w:val="000000"/>
          <w:spacing w:val="0"/>
          <w:kern w:val="0"/>
          <w:sz w:val="30"/>
          <w:szCs w:val="30"/>
          <w:highlight w:val="none"/>
          <w:lang w:val="en-US" w:eastAsia="zh-CN" w:bidi="ar-SA"/>
        </w:rPr>
      </w:pPr>
      <w:r>
        <w:rPr>
          <w:rFonts w:hint="eastAsia" w:ascii="仿宋_GB2312" w:hAnsi="仿宋_GB2312" w:eastAsia="仿宋_GB2312" w:cs="仿宋_GB2312"/>
          <w:b w:val="0"/>
          <w:snapToGrid w:val="0"/>
          <w:color w:val="000000"/>
          <w:spacing w:val="0"/>
          <w:kern w:val="0"/>
          <w:sz w:val="30"/>
          <w:szCs w:val="30"/>
          <w:highlight w:val="none"/>
          <w:lang w:val="en-US" w:eastAsia="zh-CN" w:bidi="ar-SA"/>
        </w:rPr>
        <w:t>合同签订后10个工作日内支付合同金额的50%；验收完成后10个工作日内支付合同金额的50%；每次付款前，供应商需开具响应金额的增值税专用发票。</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43" w:firstLineChars="200"/>
        <w:jc w:val="both"/>
        <w:textAlignment w:val="auto"/>
        <w:rPr>
          <w:rFonts w:hint="default" w:ascii="仿宋_GB2312" w:hAnsi="仿宋_GB2312" w:eastAsia="仿宋_GB2312" w:cs="仿宋_GB2312"/>
          <w:b/>
          <w:bCs w:val="0"/>
          <w:spacing w:val="0"/>
          <w:sz w:val="32"/>
          <w:szCs w:val="32"/>
          <w:highlight w:val="none"/>
          <w:lang w:val="en-US" w:eastAsia="zh-CN"/>
        </w:rPr>
      </w:pPr>
      <w:r>
        <w:rPr>
          <w:rFonts w:hint="eastAsia" w:ascii="仿宋_GB2312" w:hAnsi="仿宋_GB2312" w:eastAsia="仿宋_GB2312" w:cs="仿宋_GB2312"/>
          <w:b/>
          <w:bCs w:val="0"/>
          <w:spacing w:val="0"/>
          <w:sz w:val="32"/>
          <w:szCs w:val="32"/>
          <w:highlight w:val="none"/>
          <w:lang w:val="en-US" w:eastAsia="zh-CN"/>
        </w:rPr>
        <w:t>三、质保期限</w:t>
      </w:r>
      <w:r>
        <w:rPr>
          <w:rFonts w:hint="eastAsia" w:ascii="仿宋_GB2312" w:hAnsi="仿宋_GB2312" w:eastAsia="仿宋_GB2312" w:cs="仿宋_GB2312"/>
          <w:b/>
          <w:bCs/>
          <w:sz w:val="30"/>
          <w:szCs w:val="30"/>
          <w:highlight w:val="none"/>
        </w:rPr>
        <w:t>★</w:t>
      </w:r>
    </w:p>
    <w:p>
      <w:pPr>
        <w:pStyle w:val="3"/>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0" w:firstLineChars="200"/>
        <w:textAlignment w:val="baseline"/>
        <w:rPr>
          <w:rFonts w:hint="default" w:ascii="仿宋_GB2312" w:hAnsi="仿宋_GB2312" w:eastAsia="仿宋_GB2312" w:cs="仿宋_GB2312"/>
          <w:snapToGrid w:val="0"/>
          <w:color w:val="000000"/>
          <w:spacing w:val="0"/>
          <w:kern w:val="0"/>
          <w:sz w:val="30"/>
          <w:szCs w:val="30"/>
          <w:highlight w:val="none"/>
          <w:lang w:val="en-US" w:eastAsia="zh-CN" w:bidi="ar-SA"/>
        </w:rPr>
      </w:pPr>
      <w:r>
        <w:rPr>
          <w:rFonts w:hint="eastAsia" w:ascii="仿宋_GB2312" w:hAnsi="仿宋_GB2312" w:eastAsia="仿宋_GB2312" w:cs="仿宋_GB2312"/>
          <w:snapToGrid w:val="0"/>
          <w:color w:val="000000"/>
          <w:spacing w:val="0"/>
          <w:kern w:val="0"/>
          <w:sz w:val="30"/>
          <w:szCs w:val="30"/>
          <w:highlight w:val="none"/>
          <w:lang w:val="en-US" w:eastAsia="zh-CN" w:bidi="ar-SA"/>
        </w:rPr>
        <w:t>无。</w:t>
      </w:r>
    </w:p>
    <w:p>
      <w:pPr>
        <w:pStyle w:val="2"/>
        <w:keepNext w:val="0"/>
        <w:keepLines w:val="0"/>
        <w:pageBreakBefore w:val="0"/>
        <w:widowControl/>
        <w:kinsoku/>
        <w:wordWrap/>
        <w:overflowPunct/>
        <w:topLinePunct w:val="0"/>
        <w:autoSpaceDE/>
        <w:autoSpaceDN/>
        <w:bidi w:val="0"/>
        <w:adjustRightInd/>
        <w:snapToGrid/>
        <w:spacing w:before="0" w:after="0" w:line="560" w:lineRule="exact"/>
        <w:ind w:leftChars="0" w:firstLine="643" w:firstLineChars="200"/>
        <w:jc w:val="both"/>
        <w:textAlignment w:val="auto"/>
        <w:rPr>
          <w:rFonts w:hint="default" w:ascii="仿宋_GB2312" w:hAnsi="仿宋_GB2312" w:eastAsia="仿宋_GB2312" w:cs="仿宋_GB2312"/>
          <w:b/>
          <w:bCs w:val="0"/>
          <w:spacing w:val="0"/>
          <w:sz w:val="32"/>
          <w:szCs w:val="32"/>
          <w:highlight w:val="none"/>
          <w:lang w:val="en-US" w:eastAsia="zh-CN"/>
        </w:rPr>
      </w:pPr>
      <w:r>
        <w:rPr>
          <w:rFonts w:hint="eastAsia" w:ascii="仿宋_GB2312" w:hAnsi="仿宋_GB2312" w:eastAsia="仿宋_GB2312" w:cs="仿宋_GB2312"/>
          <w:b/>
          <w:bCs w:val="0"/>
          <w:spacing w:val="0"/>
          <w:sz w:val="32"/>
          <w:szCs w:val="32"/>
          <w:highlight w:val="none"/>
          <w:lang w:val="en-US" w:eastAsia="zh-CN"/>
        </w:rPr>
        <w:t>四、交付</w:t>
      </w:r>
      <w:r>
        <w:rPr>
          <w:rFonts w:hint="eastAsia" w:ascii="仿宋_GB2312" w:hAnsi="仿宋_GB2312" w:eastAsia="仿宋_GB2312" w:cs="仿宋_GB2312"/>
          <w:b/>
          <w:bCs/>
          <w:sz w:val="30"/>
          <w:szCs w:val="30"/>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_GB2312" w:hAnsi="仿宋_GB2312" w:eastAsia="仿宋_GB2312" w:cs="仿宋_GB2312"/>
          <w:snapToGrid w:val="0"/>
          <w:color w:val="000000"/>
          <w:spacing w:val="0"/>
          <w:kern w:val="0"/>
          <w:sz w:val="30"/>
          <w:szCs w:val="30"/>
          <w:highlight w:val="none"/>
          <w:lang w:val="en-US" w:eastAsia="zh-CN" w:bidi="ar-SA"/>
        </w:rPr>
      </w:pPr>
      <w:r>
        <w:rPr>
          <w:rFonts w:hint="eastAsia" w:ascii="仿宋_GB2312" w:hAnsi="仿宋_GB2312" w:cs="仿宋_GB2312"/>
          <w:snapToGrid w:val="0"/>
          <w:color w:val="000000"/>
          <w:spacing w:val="0"/>
          <w:kern w:val="0"/>
          <w:sz w:val="30"/>
          <w:szCs w:val="30"/>
          <w:highlight w:val="none"/>
          <w:lang w:val="en-US" w:eastAsia="zh-CN" w:bidi="ar-SA"/>
        </w:rPr>
        <w:t>交付地点：</w:t>
      </w:r>
      <w:r>
        <w:rPr>
          <w:rFonts w:hint="eastAsia" w:ascii="仿宋_GB2312" w:hAnsi="仿宋_GB2312" w:cs="仿宋_GB2312"/>
          <w:spacing w:val="-2"/>
          <w:sz w:val="30"/>
          <w:szCs w:val="30"/>
          <w:lang w:val="en-US" w:eastAsia="zh-CN"/>
        </w:rPr>
        <w:t>待定（合同签订时确认）。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both"/>
        <w:textAlignment w:val="baseline"/>
        <w:rPr>
          <w:rFonts w:hint="default" w:ascii="仿宋_GB2312" w:hAnsi="仿宋_GB2312" w:eastAsia="仿宋_GB2312" w:cs="仿宋_GB2312"/>
          <w:spacing w:val="-2"/>
          <w:sz w:val="30"/>
          <w:szCs w:val="30"/>
          <w:highlight w:val="none"/>
          <w:lang w:val="en-US" w:eastAsia="zh-CN"/>
        </w:rPr>
      </w:pPr>
      <w:r>
        <w:rPr>
          <w:rFonts w:hint="eastAsia" w:ascii="仿宋_GB2312" w:hAnsi="仿宋_GB2312" w:cs="仿宋_GB2312"/>
          <w:spacing w:val="-2"/>
          <w:sz w:val="30"/>
          <w:szCs w:val="30"/>
          <w:highlight w:val="none"/>
          <w:lang w:val="en-US" w:eastAsia="zh-CN"/>
        </w:rPr>
        <w:t>交付</w:t>
      </w:r>
      <w:r>
        <w:rPr>
          <w:rFonts w:hint="eastAsia" w:ascii="仿宋_GB2312" w:hAnsi="仿宋_GB2312" w:eastAsia="仿宋_GB2312" w:cs="仿宋_GB2312"/>
          <w:spacing w:val="-2"/>
          <w:sz w:val="30"/>
          <w:szCs w:val="30"/>
          <w:highlight w:val="none"/>
          <w:lang w:val="en-US" w:eastAsia="zh-CN"/>
        </w:rPr>
        <w:t>周期：合同签订后</w:t>
      </w:r>
      <w:r>
        <w:rPr>
          <w:rFonts w:hint="eastAsia" w:ascii="仿宋_GB2312" w:hAnsi="仿宋_GB2312" w:cs="仿宋_GB2312"/>
          <w:spacing w:val="-2"/>
          <w:sz w:val="30"/>
          <w:szCs w:val="30"/>
          <w:highlight w:val="none"/>
          <w:lang w:val="en-US" w:eastAsia="zh-CN"/>
        </w:rPr>
        <w:t>30</w:t>
      </w:r>
      <w:r>
        <w:rPr>
          <w:rFonts w:hint="eastAsia" w:ascii="仿宋_GB2312" w:hAnsi="仿宋_GB2312" w:cs="仿宋_GB2312"/>
          <w:spacing w:val="-2"/>
          <w:sz w:val="30"/>
          <w:szCs w:val="30"/>
          <w:lang w:val="en-US" w:eastAsia="zh-CN"/>
        </w:rPr>
        <w:t>日</w:t>
      </w:r>
      <w:r>
        <w:rPr>
          <w:rFonts w:hint="eastAsia" w:ascii="仿宋_GB2312" w:hAnsi="仿宋_GB2312" w:eastAsia="仿宋_GB2312" w:cs="仿宋_GB2312"/>
          <w:spacing w:val="-2"/>
          <w:sz w:val="30"/>
          <w:szCs w:val="30"/>
          <w:highlight w:val="none"/>
          <w:lang w:val="en-US" w:eastAsia="zh-CN"/>
        </w:rPr>
        <w:t>内完成交付。</w:t>
      </w:r>
    </w:p>
    <w:p>
      <w:pPr>
        <w:pStyle w:val="3"/>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0" w:firstLineChars="200"/>
        <w:textAlignment w:val="baseline"/>
        <w:rPr>
          <w:rFonts w:hint="eastAsia" w:ascii="仿宋_GB2312" w:hAnsi="仿宋_GB2312" w:eastAsia="仿宋_GB2312" w:cs="仿宋_GB2312"/>
          <w:snapToGrid w:val="0"/>
          <w:color w:val="000000"/>
          <w:spacing w:val="0"/>
          <w:kern w:val="0"/>
          <w:sz w:val="30"/>
          <w:szCs w:val="30"/>
          <w:highlight w:val="yellow"/>
          <w:lang w:val="en-US" w:eastAsia="zh-CN" w:bidi="ar-SA"/>
        </w:rPr>
      </w:pPr>
    </w:p>
    <w:p>
      <w:pPr>
        <w:pStyle w:val="3"/>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说明：1.本章科研生产外协项目技术、服务及其他商务要求中所有条款均为本次科研生产外协项目的实质性要求（另有说明条款除外），供应商应全部满足。</w:t>
      </w:r>
    </w:p>
    <w:p>
      <w:pPr>
        <w:pStyle w:val="3"/>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2.本章中如涉及“甲方、用户、需方、我所”均泛指采购人，“乙方、供方、承研方”均泛指供应商。</w:t>
      </w:r>
    </w:p>
    <w:p>
      <w:pPr>
        <w:pStyle w:val="3"/>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3.本科研生产外协文件如涉及到配置或材料的商标、品牌、生产厂家、产地等，仅起说明作用，其目的在于清楚明确地说明科研生产外协项目的技术标准和要求。供应商响应时可选择本章推荐的，也可选择相当于或优于推荐商标、品牌、生产厂家、产地、型号的配置或材料。</w:t>
      </w:r>
    </w:p>
    <w:p>
      <w:r>
        <w:rPr>
          <w:rFonts w:hint="eastAsia" w:ascii="仿宋_GB2312" w:hAnsi="仿宋_GB2312" w:eastAsia="仿宋_GB2312" w:cs="仿宋_GB2312"/>
          <w:b/>
          <w:bCs/>
          <w:sz w:val="30"/>
          <w:szCs w:val="30"/>
          <w:lang w:val="en-US" w:eastAsia="zh-CN"/>
        </w:rPr>
        <w:t>4.供应商请勿在其响应文件中提供涉密资料，由此带来的后果自负。</w:t>
      </w:r>
      <w:bookmarkStart w:id="6" w:name="_GoBack"/>
      <w:bookmarkEnd w:id="6"/>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210CF4"/>
    <w:multiLevelType w:val="singleLevel"/>
    <w:tmpl w:val="DE210CF4"/>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475098"/>
    <w:rsid w:val="2F475098"/>
    <w:rsid w:val="42920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both"/>
      <w:textAlignment w:val="baseline"/>
    </w:pPr>
    <w:rPr>
      <w:rFonts w:ascii="Arial" w:hAnsi="Arial" w:eastAsia="仿宋_GB2312" w:cs="Arial"/>
      <w:snapToGrid w:val="0"/>
      <w:color w:val="000000"/>
      <w:kern w:val="0"/>
      <w:sz w:val="32"/>
      <w:szCs w:val="21"/>
      <w:lang w:val="en-US" w:eastAsia="en-US" w:bidi="ar-SA"/>
    </w:rPr>
  </w:style>
  <w:style w:type="paragraph" w:styleId="2">
    <w:name w:val="heading 4"/>
    <w:basedOn w:val="1"/>
    <w:next w:val="1"/>
    <w:unhideWhenUsed/>
    <w:qFormat/>
    <w:uiPriority w:val="0"/>
    <w:pPr>
      <w:keepNext/>
      <w:keepLines/>
      <w:spacing w:before="40" w:beforeLines="0" w:beforeAutospacing="0" w:after="50" w:afterLines="0" w:afterAutospacing="0" w:line="240" w:lineRule="auto"/>
      <w:ind w:leftChars="200"/>
      <w:jc w:val="both"/>
      <w:outlineLvl w:val="3"/>
    </w:pPr>
    <w:rPr>
      <w:rFonts w:eastAsia="黑体"/>
      <w:b/>
      <w:sz w:val="28"/>
    </w:rPr>
  </w:style>
  <w:style w:type="character" w:default="1" w:styleId="9">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next w:val="1"/>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10"/>
    <w:pPr>
      <w:spacing w:before="240" w:after="60"/>
      <w:jc w:val="center"/>
      <w:outlineLvl w:val="0"/>
    </w:pPr>
    <w:rPr>
      <w:rFonts w:ascii="Cambria" w:hAnsi="Cambria"/>
      <w:b/>
      <w:bCs/>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段"/>
    <w:next w:val="1"/>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2025-12-04T03:44:00Z</dcterms:created>
  <dc:creator>周科礼</dc:creator>
  <cp:lastModifiedBy>周科礼</cp:lastModifiedBy>
  <dcterms:modified xsi:type="dcterms:W3CDTF">2025-12-04T03:44:46Z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FD5DBEE153D445D881419415BE8F0201</vt:lpwstr>
  </property>
</Properties>
</file>